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FEDE45">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DFB0F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10</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F92E8F6">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6B171F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45A5037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8"/>
        <w:tblW w:w="4937" w:type="pct"/>
        <w:tblInd w:w="0" w:type="dxa"/>
        <w:tblLayout w:type="fixed"/>
        <w:tblCellMar>
          <w:top w:w="0" w:type="dxa"/>
          <w:left w:w="108" w:type="dxa"/>
          <w:bottom w:w="0" w:type="dxa"/>
          <w:right w:w="108" w:type="dxa"/>
        </w:tblCellMar>
      </w:tblPr>
      <w:tblGrid>
        <w:gridCol w:w="1029"/>
        <w:gridCol w:w="2170"/>
        <w:gridCol w:w="1142"/>
        <w:gridCol w:w="1911"/>
        <w:gridCol w:w="1254"/>
        <w:gridCol w:w="1039"/>
        <w:gridCol w:w="1291"/>
      </w:tblGrid>
      <w:tr w14:paraId="150710CF">
        <w:tblPrEx>
          <w:tblCellMar>
            <w:top w:w="0" w:type="dxa"/>
            <w:left w:w="108" w:type="dxa"/>
            <w:bottom w:w="0" w:type="dxa"/>
            <w:right w:w="108" w:type="dxa"/>
          </w:tblCellMar>
        </w:tblPrEx>
        <w:trPr>
          <w:trHeight w:val="1181" w:hRule="atLeast"/>
        </w:trPr>
        <w:tc>
          <w:tcPr>
            <w:tcW w:w="523" w:type="pct"/>
            <w:tcBorders>
              <w:top w:val="single" w:color="auto" w:sz="4" w:space="0"/>
              <w:left w:val="single" w:color="auto" w:sz="4" w:space="0"/>
              <w:bottom w:val="single" w:color="auto" w:sz="4" w:space="0"/>
              <w:right w:val="single" w:color="auto" w:sz="4" w:space="0"/>
            </w:tcBorders>
            <w:noWrap w:val="0"/>
            <w:vAlign w:val="center"/>
          </w:tcPr>
          <w:p w14:paraId="5030E116">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1102" w:type="pct"/>
            <w:tcBorders>
              <w:top w:val="single" w:color="auto" w:sz="4" w:space="0"/>
              <w:left w:val="nil"/>
              <w:bottom w:val="single" w:color="auto" w:sz="4" w:space="0"/>
              <w:right w:val="single" w:color="auto" w:sz="4" w:space="0"/>
            </w:tcBorders>
            <w:noWrap w:val="0"/>
            <w:vAlign w:val="center"/>
          </w:tcPr>
          <w:p w14:paraId="1DF98E2B">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标的名称</w:t>
            </w:r>
          </w:p>
        </w:tc>
        <w:tc>
          <w:tcPr>
            <w:tcW w:w="580" w:type="pct"/>
            <w:tcBorders>
              <w:top w:val="single" w:color="auto" w:sz="4" w:space="0"/>
              <w:left w:val="nil"/>
              <w:bottom w:val="single" w:color="auto" w:sz="4" w:space="0"/>
              <w:right w:val="single" w:color="auto" w:sz="4" w:space="0"/>
            </w:tcBorders>
            <w:noWrap w:val="0"/>
            <w:vAlign w:val="center"/>
          </w:tcPr>
          <w:p w14:paraId="78E97330">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971" w:type="pct"/>
            <w:tcBorders>
              <w:top w:val="single" w:color="auto" w:sz="4" w:space="0"/>
              <w:left w:val="nil"/>
              <w:bottom w:val="single" w:color="auto" w:sz="4" w:space="0"/>
              <w:right w:val="single" w:color="auto" w:sz="4" w:space="0"/>
            </w:tcBorders>
            <w:noWrap w:val="0"/>
            <w:vAlign w:val="center"/>
          </w:tcPr>
          <w:p w14:paraId="0C628539">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出租</w:t>
            </w:r>
            <w:r>
              <w:rPr>
                <w:rFonts w:hint="eastAsia" w:ascii="宋体" w:hAnsi="宋体" w:cs="宋体"/>
                <w:color w:val="000000"/>
                <w:kern w:val="0"/>
                <w:sz w:val="21"/>
                <w:szCs w:val="21"/>
                <w:highlight w:val="none"/>
              </w:rPr>
              <w:t>面积（平方米）</w:t>
            </w:r>
          </w:p>
        </w:tc>
        <w:tc>
          <w:tcPr>
            <w:tcW w:w="637" w:type="pct"/>
            <w:tcBorders>
              <w:top w:val="single" w:color="auto" w:sz="4" w:space="0"/>
              <w:left w:val="nil"/>
              <w:bottom w:val="single" w:color="auto" w:sz="4" w:space="0"/>
              <w:right w:val="single" w:color="auto" w:sz="4" w:space="0"/>
            </w:tcBorders>
            <w:noWrap w:val="0"/>
            <w:vAlign w:val="center"/>
          </w:tcPr>
          <w:p w14:paraId="6CC8D8F9">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528" w:type="pct"/>
            <w:tcBorders>
              <w:top w:val="single" w:color="auto" w:sz="4" w:space="0"/>
              <w:left w:val="nil"/>
              <w:bottom w:val="single" w:color="auto" w:sz="4" w:space="0"/>
              <w:right w:val="single" w:color="auto" w:sz="4" w:space="0"/>
            </w:tcBorders>
            <w:noWrap w:val="0"/>
            <w:vAlign w:val="center"/>
          </w:tcPr>
          <w:p w14:paraId="6475F864">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656" w:type="pct"/>
            <w:tcBorders>
              <w:top w:val="single" w:color="auto" w:sz="4" w:space="0"/>
              <w:left w:val="nil"/>
              <w:bottom w:val="single" w:color="auto" w:sz="4" w:space="0"/>
              <w:right w:val="single" w:color="auto" w:sz="4" w:space="0"/>
            </w:tcBorders>
            <w:noWrap/>
            <w:vAlign w:val="center"/>
          </w:tcPr>
          <w:p w14:paraId="72881A5F">
            <w:pPr>
              <w:spacing w:line="260" w:lineRule="exact"/>
              <w:ind w:right="200"/>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租期</w:t>
            </w:r>
          </w:p>
        </w:tc>
      </w:tr>
      <w:tr w14:paraId="23AA5737">
        <w:tblPrEx>
          <w:tblCellMar>
            <w:top w:w="0" w:type="dxa"/>
            <w:left w:w="108" w:type="dxa"/>
            <w:bottom w:w="0" w:type="dxa"/>
            <w:right w:w="108" w:type="dxa"/>
          </w:tblCellMar>
        </w:tblPrEx>
        <w:trPr>
          <w:trHeight w:val="732"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458278F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1102" w:type="pct"/>
            <w:tcBorders>
              <w:top w:val="single" w:color="auto" w:sz="4" w:space="0"/>
              <w:left w:val="nil"/>
              <w:bottom w:val="single" w:color="auto" w:sz="4" w:space="0"/>
              <w:right w:val="single" w:color="auto" w:sz="8" w:space="0"/>
            </w:tcBorders>
            <w:noWrap w:val="0"/>
            <w:vAlign w:val="center"/>
          </w:tcPr>
          <w:p w14:paraId="17B2D270">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宁波石化经济技术开发区通港路199号</w:t>
            </w:r>
          </w:p>
        </w:tc>
        <w:tc>
          <w:tcPr>
            <w:tcW w:w="580" w:type="pct"/>
            <w:tcBorders>
              <w:top w:val="single" w:color="auto" w:sz="4" w:space="0"/>
              <w:left w:val="nil"/>
              <w:bottom w:val="single" w:color="auto" w:sz="4" w:space="0"/>
              <w:right w:val="single" w:color="auto" w:sz="8" w:space="0"/>
            </w:tcBorders>
            <w:noWrap w:val="0"/>
            <w:vAlign w:val="center"/>
          </w:tcPr>
          <w:p w14:paraId="06C6CC93">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办公、车间、空地</w:t>
            </w:r>
          </w:p>
        </w:tc>
        <w:tc>
          <w:tcPr>
            <w:tcW w:w="971" w:type="pct"/>
            <w:tcBorders>
              <w:top w:val="single" w:color="auto" w:sz="4" w:space="0"/>
              <w:left w:val="nil"/>
              <w:bottom w:val="single" w:color="auto" w:sz="4" w:space="0"/>
              <w:right w:val="single" w:color="auto" w:sz="8" w:space="0"/>
            </w:tcBorders>
            <w:noWrap w:val="0"/>
            <w:vAlign w:val="center"/>
          </w:tcPr>
          <w:p w14:paraId="3CE3C8AF">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建筑面积为1157.92平方米,土地使用权面积为4,786.69平方米(约7.18亩)</w:t>
            </w:r>
          </w:p>
        </w:tc>
        <w:tc>
          <w:tcPr>
            <w:tcW w:w="637" w:type="pct"/>
            <w:tcBorders>
              <w:top w:val="single" w:color="auto" w:sz="4" w:space="0"/>
              <w:left w:val="nil"/>
              <w:bottom w:val="single" w:color="auto" w:sz="4" w:space="0"/>
              <w:right w:val="single" w:color="auto" w:sz="8" w:space="0"/>
            </w:tcBorders>
            <w:noWrap w:val="0"/>
            <w:vAlign w:val="center"/>
          </w:tcPr>
          <w:p w14:paraId="113E75A5">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759800</w:t>
            </w:r>
          </w:p>
        </w:tc>
        <w:tc>
          <w:tcPr>
            <w:tcW w:w="528" w:type="pct"/>
            <w:tcBorders>
              <w:top w:val="single" w:color="auto" w:sz="4" w:space="0"/>
              <w:left w:val="nil"/>
              <w:bottom w:val="single" w:color="auto" w:sz="4" w:space="0"/>
              <w:right w:val="nil"/>
            </w:tcBorders>
            <w:noWrap w:val="0"/>
            <w:vAlign w:val="center"/>
          </w:tcPr>
          <w:p w14:paraId="6E10D29C">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100000</w:t>
            </w:r>
          </w:p>
        </w:tc>
        <w:tc>
          <w:tcPr>
            <w:tcW w:w="656" w:type="pct"/>
            <w:tcBorders>
              <w:top w:val="single" w:color="auto" w:sz="4" w:space="0"/>
              <w:left w:val="single" w:color="auto" w:sz="4" w:space="0"/>
              <w:bottom w:val="single" w:color="auto" w:sz="4" w:space="0"/>
              <w:right w:val="single" w:color="auto" w:sz="4" w:space="0"/>
            </w:tcBorders>
            <w:noWrap w:val="0"/>
            <w:vAlign w:val="center"/>
          </w:tcPr>
          <w:p w14:paraId="6C055F8B">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5</w:t>
            </w:r>
            <w:r>
              <w:rPr>
                <w:rFonts w:hint="eastAsia" w:ascii="宋体" w:hAnsi="宋体" w:cs="宋体"/>
                <w:color w:val="000000"/>
                <w:kern w:val="0"/>
                <w:sz w:val="21"/>
                <w:szCs w:val="21"/>
                <w:highlight w:val="none"/>
              </w:rPr>
              <w:t>年</w:t>
            </w:r>
            <w:r>
              <w:rPr>
                <w:rFonts w:hint="eastAsia" w:ascii="宋体" w:hAnsi="宋体" w:cs="宋体"/>
                <w:color w:val="000000"/>
                <w:kern w:val="0"/>
                <w:sz w:val="21"/>
                <w:szCs w:val="21"/>
                <w:highlight w:val="none"/>
                <w:lang w:eastAsia="zh-CN"/>
              </w:rPr>
              <w:t>（</w:t>
            </w:r>
            <w:r>
              <w:rPr>
                <w:rFonts w:hint="eastAsia" w:ascii="宋体" w:hAnsi="宋体" w:cs="宋体"/>
                <w:color w:val="000000"/>
                <w:kern w:val="0"/>
                <w:sz w:val="21"/>
                <w:szCs w:val="21"/>
                <w:highlight w:val="none"/>
                <w:lang w:val="en-US" w:eastAsia="zh-CN"/>
              </w:rPr>
              <w:t>前三年租金为竞价成交价，</w:t>
            </w:r>
            <w:r>
              <w:rPr>
                <w:rFonts w:hint="eastAsia" w:ascii="宋体" w:hAnsi="宋体" w:cs="宋体"/>
                <w:color w:val="000000"/>
                <w:kern w:val="0"/>
                <w:sz w:val="21"/>
                <w:szCs w:val="21"/>
                <w:highlight w:val="none"/>
              </w:rPr>
              <w:t>第四、第五年租金在前三年年租金基础上上浮5%</w:t>
            </w:r>
            <w:r>
              <w:rPr>
                <w:rFonts w:hint="eastAsia" w:ascii="宋体" w:hAnsi="宋体" w:cs="宋体"/>
                <w:color w:val="000000"/>
                <w:kern w:val="0"/>
                <w:sz w:val="21"/>
                <w:szCs w:val="21"/>
                <w:highlight w:val="none"/>
                <w:lang w:eastAsia="zh-CN"/>
              </w:rPr>
              <w:t>）</w:t>
            </w:r>
          </w:p>
          <w:p w14:paraId="42A9001F">
            <w:pPr>
              <w:widowControl/>
              <w:jc w:val="center"/>
              <w:rPr>
                <w:rFonts w:hint="eastAsia" w:ascii="宋体" w:hAnsi="宋体" w:cs="宋体"/>
                <w:color w:val="000000"/>
                <w:kern w:val="0"/>
                <w:sz w:val="21"/>
                <w:szCs w:val="21"/>
                <w:highlight w:val="none"/>
              </w:rPr>
            </w:pPr>
          </w:p>
        </w:tc>
      </w:tr>
    </w:tbl>
    <w:p w14:paraId="4F669914">
      <w:pPr>
        <w:numPr>
          <w:ilvl w:val="0"/>
          <w:numId w:val="0"/>
        </w:numPr>
        <w:spacing w:line="420" w:lineRule="exact"/>
        <w:ind w:firstLine="482" w:firstLineChars="200"/>
        <w:rPr>
          <w:rFonts w:hint="eastAsia" w:ascii="宋体" w:hAnsi="宋体"/>
          <w:b/>
          <w:color w:val="auto"/>
          <w:sz w:val="24"/>
          <w:szCs w:val="24"/>
        </w:rPr>
      </w:pPr>
      <w:r>
        <w:rPr>
          <w:rFonts w:hint="eastAsia" w:ascii="宋体" w:hAnsi="宋体"/>
          <w:b/>
          <w:bCs/>
          <w:color w:val="000000"/>
          <w:sz w:val="24"/>
          <w:lang w:val="en-US" w:eastAsia="zh-CN"/>
        </w:rPr>
        <w:t>特别注意：该场地仅用于危运车辆罐体洗消、检测功能使用。</w:t>
      </w:r>
      <w:r>
        <w:rPr>
          <w:rFonts w:hint="eastAsia" w:ascii="宋体" w:hAnsi="宋体" w:cs="宋体"/>
          <w:b/>
          <w:sz w:val="24"/>
        </w:rPr>
        <w:t>如发现违反该</w:t>
      </w:r>
      <w:r>
        <w:rPr>
          <w:rFonts w:hint="eastAsia" w:ascii="宋体" w:hAnsi="宋体" w:cs="宋体"/>
          <w:b/>
          <w:sz w:val="24"/>
          <w:lang w:val="en-US" w:eastAsia="zh-CN"/>
        </w:rPr>
        <w:t>场地</w:t>
      </w:r>
      <w:r>
        <w:rPr>
          <w:rFonts w:hint="eastAsia" w:ascii="宋体" w:hAnsi="宋体" w:cs="宋体"/>
          <w:b/>
          <w:sz w:val="24"/>
        </w:rPr>
        <w:t>规定使用的，视为违约，委托人（出租人）有权无条件收回该标的，履约保证金不予退还</w:t>
      </w:r>
      <w:r>
        <w:rPr>
          <w:rFonts w:hint="eastAsia" w:ascii="宋体" w:hAnsi="宋体" w:cs="宋体"/>
          <w:b/>
          <w:sz w:val="24"/>
          <w:lang w:eastAsia="zh-CN"/>
        </w:rPr>
        <w:t>，</w:t>
      </w:r>
      <w:r>
        <w:rPr>
          <w:rFonts w:hint="eastAsia" w:ascii="宋体" w:hAnsi="宋体" w:cs="宋体"/>
          <w:b/>
          <w:sz w:val="24"/>
          <w:szCs w:val="24"/>
        </w:rPr>
        <w:t>买受人（承租人）还需承担相应的违约责任</w:t>
      </w:r>
      <w:r>
        <w:rPr>
          <w:rFonts w:hint="eastAsia" w:ascii="宋体" w:hAnsi="宋体" w:cs="宋体"/>
          <w:b/>
          <w:sz w:val="24"/>
        </w:rPr>
        <w:t>。</w:t>
      </w:r>
    </w:p>
    <w:p w14:paraId="789A0456">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68EA0969">
      <w:pPr>
        <w:pStyle w:val="10"/>
        <w:wordWrap w:val="0"/>
        <w:spacing w:line="360" w:lineRule="auto"/>
        <w:ind w:firstLine="482"/>
        <w:rPr>
          <w:rFonts w:hint="eastAsia" w:ascii="宋体" w:hAnsi="宋体" w:eastAsia="宋体" w:cs="宋体"/>
          <w:b/>
          <w:color w:val="auto"/>
          <w:sz w:val="24"/>
          <w:szCs w:val="24"/>
        </w:rPr>
      </w:pPr>
      <w:r>
        <w:rPr>
          <w:rFonts w:hint="eastAsia" w:ascii="宋体" w:hAnsi="宋体" w:eastAsia="宋体" w:cs="宋体"/>
          <w:b/>
          <w:color w:val="auto"/>
          <w:sz w:val="24"/>
          <w:szCs w:val="24"/>
        </w:rPr>
        <w:t xml:space="preserve">  注：</w:t>
      </w:r>
      <w:r>
        <w:rPr>
          <w:rFonts w:hint="eastAsia" w:ascii="宋体" w:hAnsi="宋体" w:eastAsia="宋体" w:cs="宋体"/>
          <w:b/>
          <w:bCs/>
          <w:color w:val="auto"/>
          <w:spacing w:val="-4"/>
          <w:kern w:val="2"/>
          <w:sz w:val="24"/>
          <w:szCs w:val="24"/>
          <w:lang w:val="en-US" w:eastAsia="zh-CN" w:bidi="ar"/>
        </w:rPr>
        <w:t>原承租人按规定报名并参加竞买的，</w:t>
      </w:r>
      <w:r>
        <w:rPr>
          <w:rFonts w:hint="eastAsia" w:ascii="宋体" w:hAnsi="宋体" w:eastAsia="宋体" w:cs="宋体"/>
          <w:b/>
          <w:color w:val="auto"/>
          <w:sz w:val="24"/>
          <w:szCs w:val="24"/>
        </w:rPr>
        <w:t>在同等条件下享有优先承租权。如未报名的,则视为放弃优先租赁权。</w:t>
      </w:r>
    </w:p>
    <w:p w14:paraId="28BB44B8">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7E4F0766">
      <w:pPr>
        <w:pStyle w:val="10"/>
        <w:numPr>
          <w:ilvl w:val="0"/>
          <w:numId w:val="0"/>
        </w:numPr>
        <w:spacing w:line="360" w:lineRule="auto"/>
        <w:ind w:firstLine="480" w:firstLineChars="200"/>
        <w:rPr>
          <w:rFonts w:hint="default" w:ascii="宋体" w:hAnsi="宋体" w:eastAsia="宋体" w:cs="Tahoma"/>
          <w:b w:val="0"/>
          <w:bCs w:val="0"/>
          <w:color w:val="auto"/>
          <w:sz w:val="24"/>
          <w:szCs w:val="24"/>
          <w:lang w:val="en-US"/>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谢绝参加：①在与委托人上一轮租赁期内存在拖欠房租费、转租、改变租赁用途等违反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；②有干扰委托人正常招租，无理取闹行为的</w:t>
      </w:r>
      <w:r>
        <w:rPr>
          <w:rFonts w:hint="eastAsia" w:ascii="宋体" w:hAnsi="宋体" w:cs="宋体"/>
          <w:bCs/>
          <w:color w:val="auto"/>
          <w:sz w:val="24"/>
          <w:lang w:eastAsia="zh-CN"/>
        </w:rPr>
        <w:t>。</w:t>
      </w:r>
    </w:p>
    <w:p w14:paraId="176CB2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7516CD0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w:t>
      </w:r>
      <w:r>
        <w:rPr>
          <w:rFonts w:hint="eastAsia" w:ascii="宋体" w:hAnsi="宋体" w:eastAsia="宋体" w:cs="宋体"/>
          <w:color w:val="auto"/>
          <w:sz w:val="24"/>
        </w:rPr>
        <w:t>月</w:t>
      </w:r>
      <w:r>
        <w:rPr>
          <w:rFonts w:hint="eastAsia" w:ascii="宋体" w:hAnsi="宋体" w:cs="宋体"/>
          <w:color w:val="auto"/>
          <w:sz w:val="24"/>
          <w:lang w:val="en-US" w:eastAsia="zh-CN"/>
        </w:rPr>
        <w:t>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FB194A">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4C95C7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7F184F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04246066">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7271774F">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DC64570">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4550DE4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40550F44">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6FC7BBB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val="en-US" w:eastAsia="zh-CN"/>
        </w:rPr>
        <w:t>房屋土地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val="en-US" w:eastAsia="zh-CN"/>
        </w:rPr>
        <w:t>房屋土地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2C4E0EE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1852D85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85D109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val="en-US" w:eastAsia="zh-CN"/>
        </w:rPr>
        <w:t>房屋土地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7AD53333">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74C5A67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1A30510">
      <w:pPr>
        <w:spacing w:line="400" w:lineRule="exact"/>
        <w:ind w:firstLine="464" w:firstLineChars="200"/>
        <w:jc w:val="left"/>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sz w:val="24"/>
          <w:lang w:val="en-US" w:eastAsia="zh-CN"/>
        </w:rPr>
        <w:t>10个工作日内签订《房屋土地租赁合同》，并于《</w:t>
      </w:r>
      <w:r>
        <w:rPr>
          <w:rFonts w:hint="eastAsia"/>
          <w:b w:val="0"/>
          <w:bCs/>
          <w:sz w:val="24"/>
          <w:lang w:val="en-US" w:eastAsia="zh-CN"/>
        </w:rPr>
        <w:t>房屋土地租赁合同</w:t>
      </w:r>
      <w:r>
        <w:rPr>
          <w:rFonts w:hint="eastAsia"/>
          <w:sz w:val="24"/>
          <w:lang w:val="en-US" w:eastAsia="zh-CN"/>
        </w:rPr>
        <w:t>》</w:t>
      </w:r>
      <w:r>
        <w:rPr>
          <w:rFonts w:hint="eastAsia"/>
          <w:b w:val="0"/>
          <w:bCs/>
          <w:sz w:val="24"/>
          <w:lang w:val="en-US" w:eastAsia="zh-CN"/>
        </w:rPr>
        <w:t>签订之日起10个工作日</w:t>
      </w:r>
      <w:r>
        <w:rPr>
          <w:rFonts w:hint="eastAsia"/>
          <w:sz w:val="24"/>
        </w:rPr>
        <w:t>内将</w:t>
      </w:r>
      <w:r>
        <w:rPr>
          <w:rFonts w:hint="eastAsia"/>
          <w:sz w:val="24"/>
          <w:lang w:eastAsia="zh-CN"/>
        </w:rPr>
        <w:t>首年租金</w:t>
      </w:r>
      <w:r>
        <w:rPr>
          <w:rFonts w:hint="eastAsia"/>
          <w:sz w:val="24"/>
        </w:rPr>
        <w:t>及</w:t>
      </w:r>
      <w:r>
        <w:rPr>
          <w:rFonts w:hint="eastAsia" w:ascii="宋体" w:hAnsi="宋体" w:eastAsia="宋体" w:cs="宋体"/>
          <w:color w:val="000000"/>
          <w:sz w:val="24"/>
          <w:szCs w:val="24"/>
          <w:lang w:eastAsia="zh-CN"/>
        </w:rPr>
        <w:t>履约保证金（履约保证金</w:t>
      </w:r>
      <w:r>
        <w:rPr>
          <w:rFonts w:hint="eastAsia" w:ascii="宋体" w:hAnsi="宋体" w:eastAsia="宋体" w:cs="宋体"/>
          <w:color w:val="000000"/>
          <w:sz w:val="24"/>
          <w:szCs w:val="24"/>
        </w:rPr>
        <w:t>为</w:t>
      </w:r>
      <w:r>
        <w:rPr>
          <w:rFonts w:hint="eastAsia" w:ascii="宋体" w:hAnsi="宋体" w:cs="宋体"/>
          <w:b w:val="0"/>
          <w:bCs w:val="0"/>
          <w:color w:val="auto"/>
          <w:kern w:val="0"/>
          <w:sz w:val="24"/>
          <w:szCs w:val="24"/>
          <w:u w:val="none"/>
          <w:lang w:val="en-US" w:eastAsia="zh-CN"/>
        </w:rPr>
        <w:t>10万元整</w:t>
      </w:r>
      <w:r>
        <w:rPr>
          <w:rFonts w:hint="eastAsia" w:ascii="宋体" w:hAnsi="宋体" w:eastAsia="宋体" w:cs="宋体"/>
          <w:color w:val="000000"/>
          <w:sz w:val="24"/>
          <w:szCs w:val="24"/>
          <w:lang w:eastAsia="zh-CN"/>
        </w:rPr>
        <w:t>）</w:t>
      </w:r>
      <w:r>
        <w:rPr>
          <w:rFonts w:hint="eastAsia" w:ascii="宋体" w:hAnsi="宋体" w:eastAsia="宋体" w:cs="宋体"/>
          <w:color w:val="auto"/>
          <w:spacing w:val="-4"/>
          <w:sz w:val="24"/>
          <w:szCs w:val="24"/>
        </w:rPr>
        <w:t>直接付至委托人指定</w:t>
      </w:r>
      <w:r>
        <w:rPr>
          <w:rFonts w:hint="eastAsia" w:ascii="宋体" w:hAnsi="宋体" w:eastAsia="宋体" w:cs="宋体"/>
          <w:color w:val="auto"/>
          <w:spacing w:val="-4"/>
          <w:sz w:val="24"/>
          <w:szCs w:val="24"/>
          <w:u w:val="none"/>
          <w:lang w:eastAsia="zh-CN"/>
        </w:rPr>
        <w:t>账</w:t>
      </w:r>
      <w:r>
        <w:rPr>
          <w:rFonts w:hint="eastAsia" w:ascii="宋体" w:hAnsi="宋体" w:eastAsia="宋体" w:cs="宋体"/>
          <w:color w:val="auto"/>
          <w:spacing w:val="-4"/>
          <w:sz w:val="24"/>
          <w:szCs w:val="24"/>
          <w:u w:val="none"/>
        </w:rPr>
        <w:t>户</w:t>
      </w:r>
      <w:r>
        <w:rPr>
          <w:rFonts w:hint="eastAsia" w:ascii="宋体" w:hAnsi="宋体" w:eastAsia="宋体" w:cs="宋体"/>
          <w:color w:val="auto"/>
          <w:spacing w:val="-4"/>
          <w:sz w:val="24"/>
          <w:szCs w:val="24"/>
          <w:u w:val="none"/>
          <w:lang w:eastAsia="zh-CN"/>
        </w:rPr>
        <w:t>名称：</w:t>
      </w:r>
      <w:r>
        <w:rPr>
          <w:rFonts w:hint="eastAsia" w:ascii="宋体" w:hAnsi="宋体" w:eastAsia="宋体" w:cs="宋体"/>
          <w:color w:val="auto"/>
          <w:sz w:val="24"/>
          <w:szCs w:val="24"/>
          <w:u w:val="none"/>
          <w:lang w:eastAsia="zh-CN"/>
        </w:rPr>
        <w:t>宁波市镇海区危化品运输综合服务有限公司</w:t>
      </w:r>
      <w:r>
        <w:rPr>
          <w:rFonts w:hint="eastAsia" w:ascii="宋体" w:hAnsi="宋体" w:eastAsia="宋体" w:cs="宋体"/>
          <w:color w:val="auto"/>
          <w:spacing w:val="-4"/>
          <w:sz w:val="24"/>
          <w:szCs w:val="24"/>
          <w:u w:val="none"/>
          <w:lang w:eastAsia="zh-CN"/>
        </w:rPr>
        <w:t>，</w:t>
      </w:r>
      <w:r>
        <w:rPr>
          <w:rFonts w:hint="eastAsia" w:ascii="宋体" w:hAnsi="宋体" w:cs="宋体"/>
          <w:color w:val="auto"/>
          <w:spacing w:val="-4"/>
          <w:sz w:val="24"/>
          <w:szCs w:val="24"/>
          <w:u w:val="none"/>
          <w:lang w:eastAsia="zh-CN"/>
        </w:rPr>
        <w:t>开户行：</w:t>
      </w:r>
      <w:r>
        <w:rPr>
          <w:rFonts w:hint="eastAsia" w:ascii="宋体" w:hAnsi="宋体" w:eastAsia="宋体" w:cs="宋体"/>
          <w:color w:val="auto"/>
          <w:sz w:val="24"/>
          <w:szCs w:val="24"/>
          <w:u w:val="none"/>
          <w:lang w:eastAsia="zh-CN"/>
        </w:rPr>
        <w:t>中国银行镇海分行</w:t>
      </w:r>
      <w:r>
        <w:rPr>
          <w:rFonts w:hint="eastAsia" w:ascii="宋体" w:hAnsi="宋体" w:cs="宋体"/>
          <w:color w:val="auto"/>
          <w:sz w:val="24"/>
          <w:szCs w:val="24"/>
          <w:u w:val="none"/>
          <w:lang w:eastAsia="zh-CN"/>
        </w:rPr>
        <w:t>，账号：</w:t>
      </w:r>
      <w:r>
        <w:rPr>
          <w:rFonts w:hint="eastAsia" w:ascii="宋体" w:hAnsi="宋体" w:eastAsia="宋体" w:cs="宋体"/>
          <w:color w:val="auto"/>
          <w:sz w:val="24"/>
          <w:szCs w:val="24"/>
          <w:u w:val="none"/>
          <w:lang w:val="en-US" w:eastAsia="zh-CN"/>
        </w:rPr>
        <w:t>364963916843</w:t>
      </w:r>
      <w:r>
        <w:rPr>
          <w:rFonts w:hint="eastAsia" w:ascii="宋体" w:hAnsi="宋体" w:cs="宋体"/>
          <w:color w:val="auto"/>
          <w:sz w:val="24"/>
          <w:szCs w:val="24"/>
          <w:u w:val="none"/>
          <w:lang w:val="en-US" w:eastAsia="zh-CN"/>
        </w:rPr>
        <w:t>。</w:t>
      </w:r>
    </w:p>
    <w:p w14:paraId="3A4569B0">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449D38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6C411DC7">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sz w:val="24"/>
          <w:lang w:val="en-US" w:eastAsia="zh-CN"/>
        </w:rPr>
        <w:t>房屋土地租赁合同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33900F2B">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房屋有原承租户</w:t>
      </w:r>
      <w:r>
        <w:rPr>
          <w:rFonts w:hint="eastAsia" w:ascii="宋体" w:hAnsi="宋体" w:cs="宋体"/>
          <w:color w:val="auto"/>
          <w:kern w:val="2"/>
          <w:sz w:val="24"/>
          <w:szCs w:val="24"/>
          <w:lang w:val="en-US" w:eastAsia="zh-CN" w:bidi="ar"/>
        </w:rPr>
        <w:t>。</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09CA0921">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rPr>
        <w:t>如因腾空等原因，委托人在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rPr>
        <w:t>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32352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5、</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171A1D"/>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30FE48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16F3F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sz w:val="24"/>
          <w:lang w:val="en-US" w:eastAsia="zh-CN"/>
        </w:rPr>
        <w:t>房屋土地租赁合同</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53C3FF0D">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8、</w:t>
      </w:r>
      <w:r>
        <w:rPr>
          <w:rFonts w:hint="eastAsia" w:ascii="宋体" w:hAnsi="宋体" w:eastAsia="宋体" w:cs="宋体"/>
          <w:b w:val="0"/>
          <w:bCs w:val="0"/>
          <w:sz w:val="24"/>
          <w:szCs w:val="24"/>
          <w:shd w:val="clear" w:color="auto" w:fill="auto"/>
          <w:lang w:val="en-US" w:eastAsia="zh-CN"/>
        </w:rPr>
        <w:t>租赁房屋移交</w:t>
      </w:r>
    </w:p>
    <w:p w14:paraId="2EB8150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60BFA63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22EED68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0F2658FD">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1EE8115">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3473312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7573FEEA">
      <w:pPr>
        <w:pStyle w:val="7"/>
        <w:widowControl/>
        <w:spacing w:beforeAutospacing="0" w:afterAutospacing="0" w:line="360" w:lineRule="auto"/>
        <w:ind w:firstLine="480" w:firstLineChars="200"/>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854995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3A6144E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0C91084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50ED103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sz w:val="24"/>
          <w:lang w:val="en-US" w:eastAsia="zh-CN"/>
        </w:rPr>
        <w:t>房屋土地租赁合同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571490C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A83AD1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4B252B05">
      <w:pPr>
        <w:pStyle w:val="4"/>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3734A1A">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0410F5B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43BD3AB4">
      <w:pPr>
        <w:keepNext w:val="0"/>
        <w:keepLines w:val="0"/>
        <w:pageBreakBefore w:val="0"/>
        <w:widowControl w:val="0"/>
        <w:kinsoku/>
        <w:wordWrap/>
        <w:overflowPunct/>
        <w:topLinePunct w:val="0"/>
        <w:autoSpaceDE/>
        <w:autoSpaceDN/>
        <w:bidi w:val="0"/>
        <w:adjustRightInd/>
        <w:snapToGrid/>
        <w:spacing w:line="500" w:lineRule="exact"/>
        <w:ind w:firstLine="1446" w:firstLineChars="600"/>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《房屋（土地）租赁合同》《出租资产安全责任告知书》</w:t>
      </w:r>
    </w:p>
    <w:p w14:paraId="0106F30C">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54A94AB">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26</w:t>
      </w:r>
      <w:bookmarkStart w:id="0" w:name="_GoBack"/>
      <w:bookmarkEnd w:id="0"/>
      <w:r>
        <w:rPr>
          <w:rFonts w:hint="eastAsia" w:ascii="宋体" w:hAnsi="宋体" w:eastAsia="宋体" w:cs="宋体"/>
          <w:color w:val="auto"/>
          <w:sz w:val="24"/>
          <w:szCs w:val="24"/>
        </w:rPr>
        <w:t>日</w:t>
      </w:r>
    </w:p>
    <w:p w14:paraId="239A7AE9">
      <w:pPr>
        <w:jc w:val="center"/>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房屋（土地） 租 用 合 同</w:t>
      </w:r>
    </w:p>
    <w:p w14:paraId="31E0A22C">
      <w:pPr>
        <w:spacing w:after="0" w:line="560" w:lineRule="exact"/>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合同编号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w:t>
      </w:r>
    </w:p>
    <w:p w14:paraId="666E7349">
      <w:pPr>
        <w:spacing w:after="0" w:line="560" w:lineRule="exact"/>
        <w:ind w:firstLine="640" w:firstLineChars="200"/>
        <w:jc w:val="center"/>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签字日期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年   月  日              </w:t>
      </w:r>
      <w:r>
        <w:rPr>
          <w:rFonts w:hint="eastAsia" w:ascii="仿宋_GB2312" w:hAnsi="仿宋_GB2312" w:eastAsia="仿宋_GB2312" w:cs="仿宋_GB2312"/>
          <w:sz w:val="32"/>
          <w:szCs w:val="32"/>
          <w:u w:val="single"/>
        </w:rPr>
        <w:t xml:space="preserve"> </w:t>
      </w:r>
    </w:p>
    <w:p w14:paraId="644F5A2F">
      <w:pPr>
        <w:spacing w:after="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签订地点</w:t>
      </w:r>
      <w:r>
        <w:rPr>
          <w:rFonts w:hint="eastAsia" w:ascii="仿宋_GB2312" w:hAnsi="仿宋_GB2312" w:eastAsia="仿宋_GB2312" w:cs="仿宋_GB2312"/>
          <w:sz w:val="32"/>
          <w:szCs w:val="32"/>
          <w:u w:val="single"/>
        </w:rPr>
        <w:t>：</w:t>
      </w:r>
      <w:r>
        <w:rPr>
          <w:rFonts w:hint="eastAsia" w:ascii="仿宋_GB2312" w:hAnsi="仿宋_GB2312" w:eastAsia="仿宋_GB2312" w:cs="仿宋_GB2312"/>
          <w:sz w:val="32"/>
          <w:szCs w:val="32"/>
          <w:u w:val="single"/>
          <w:lang w:val="en-US" w:eastAsia="zh-CN"/>
        </w:rPr>
        <w:t xml:space="preserve">  危运服务公司   </w:t>
      </w:r>
    </w:p>
    <w:p w14:paraId="3C1C3A25">
      <w:pPr>
        <w:spacing w:after="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出租方：宁波市镇海区危化品运输综合服务有限公司（以下简称甲方）</w:t>
      </w:r>
    </w:p>
    <w:p w14:paraId="30F3D855">
      <w:pPr>
        <w:spacing w:after="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承租方：</w:t>
      </w:r>
    </w:p>
    <w:p w14:paraId="543CCDC9">
      <w:pPr>
        <w:spacing w:after="0"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（以下简称乙方）</w:t>
      </w:r>
    </w:p>
    <w:p w14:paraId="4E56FBC0">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乙方参加甲方在区公共资源交易中心的资产公开招租中中标，取得甲方出租资产的承租权，根据《中华人民共和国</w:t>
      </w:r>
      <w:r>
        <w:rPr>
          <w:rFonts w:hint="eastAsia" w:ascii="仿宋_GB2312" w:hAnsi="仿宋_GB2312" w:eastAsia="仿宋_GB2312" w:cs="仿宋_GB2312"/>
          <w:sz w:val="32"/>
          <w:szCs w:val="32"/>
          <w:lang w:val="en-US" w:eastAsia="zh-CN"/>
        </w:rPr>
        <w:t>民法典</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浙江省</w:t>
      </w:r>
      <w:r>
        <w:rPr>
          <w:rFonts w:hint="eastAsia" w:ascii="仿宋_GB2312" w:hAnsi="仿宋_GB2312" w:eastAsia="仿宋_GB2312" w:cs="仿宋_GB2312"/>
          <w:sz w:val="32"/>
          <w:szCs w:val="32"/>
        </w:rPr>
        <w:t>行政事业单位国有资产管理暂行办法》和省、市、区有关规定及甲方在资产招租中的有关约定，为保障双方合法权益，经双方协商一致，现就资产租赁事宜达成如下协议：</w:t>
      </w:r>
    </w:p>
    <w:p w14:paraId="4AE2BB70">
      <w:pPr>
        <w:widowControl w:val="0"/>
        <w:numPr>
          <w:ilvl w:val="0"/>
          <w:numId w:val="2"/>
        </w:numPr>
        <w:spacing w:after="0"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资产基本情况</w:t>
      </w:r>
    </w:p>
    <w:p w14:paraId="71514E7E">
      <w:pPr>
        <w:spacing w:after="0" w:line="560" w:lineRule="exact"/>
        <w:ind w:firstLine="640" w:firstLineChars="200"/>
        <w:jc w:val="both"/>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甲方出</w:t>
      </w:r>
      <w:r>
        <w:rPr>
          <w:rFonts w:hint="eastAsia" w:ascii="仿宋_GB2312" w:hAnsi="仿宋_GB2312" w:eastAsia="仿宋_GB2312" w:cs="仿宋_GB2312"/>
          <w:color w:val="000000" w:themeColor="text1"/>
          <w:sz w:val="32"/>
          <w:szCs w:val="32"/>
          <w14:textFill>
            <w14:solidFill>
              <w14:schemeClr w14:val="tx1"/>
            </w14:solidFill>
          </w14:textFill>
        </w:rPr>
        <w:t>租资产坐落于宁波石化经济技术开发区通港路199号</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洗消项目的厂房、仓库及场地</w:t>
      </w:r>
      <w:r>
        <w:rPr>
          <w:rFonts w:hint="eastAsia" w:ascii="仿宋_GB2312" w:hAnsi="仿宋_GB2312" w:eastAsia="仿宋_GB2312" w:cs="仿宋_GB2312"/>
          <w:color w:val="000000" w:themeColor="text1"/>
          <w:sz w:val="32"/>
          <w:szCs w:val="32"/>
          <w14:textFill>
            <w14:solidFill>
              <w14:schemeClr w14:val="tx1"/>
            </w14:solidFill>
          </w14:textFill>
        </w:rPr>
        <w:t>。出租</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资产工业用房</w:t>
      </w:r>
      <w:r>
        <w:rPr>
          <w:rFonts w:hint="eastAsia" w:ascii="仿宋_GB2312" w:hAnsi="仿宋_GB2312" w:eastAsia="仿宋_GB2312" w:cs="仿宋_GB2312"/>
          <w:color w:val="000000" w:themeColor="text1"/>
          <w:sz w:val="32"/>
          <w:szCs w:val="32"/>
          <w14:textFill>
            <w14:solidFill>
              <w14:schemeClr w14:val="tx1"/>
            </w14:solidFill>
          </w14:textFill>
        </w:rPr>
        <w:t>建筑面积</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1157.92</w:t>
      </w:r>
      <w:r>
        <w:rPr>
          <w:rFonts w:hint="eastAsia" w:ascii="仿宋_GB2312" w:hAnsi="仿宋_GB2312" w:eastAsia="仿宋_GB2312" w:cs="仿宋_GB2312"/>
          <w:color w:val="000000" w:themeColor="text1"/>
          <w:sz w:val="32"/>
          <w:szCs w:val="32"/>
          <w14:textFill>
            <w14:solidFill>
              <w14:schemeClr w14:val="tx1"/>
            </w14:solidFill>
          </w14:textFill>
        </w:rPr>
        <w:t>平方米</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土地面积</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4,786.69平方米(约7.18亩)</w:t>
      </w:r>
      <w:r>
        <w:rPr>
          <w:rFonts w:hint="eastAsia" w:ascii="仿宋_GB2312" w:hAnsi="仿宋_GB2312" w:eastAsia="仿宋_GB2312" w:cs="仿宋_GB2312"/>
          <w:color w:val="000000" w:themeColor="text1"/>
          <w:sz w:val="32"/>
          <w:szCs w:val="32"/>
          <w14:textFill>
            <w14:solidFill>
              <w14:schemeClr w14:val="tx1"/>
            </w14:solidFill>
          </w14:textFill>
        </w:rPr>
        <w:t>。</w:t>
      </w:r>
    </w:p>
    <w:p w14:paraId="7FF4FE7E">
      <w:pPr>
        <w:widowControl w:val="0"/>
        <w:spacing w:after="0" w:line="560" w:lineRule="exact"/>
        <w:ind w:firstLine="640" w:firstLineChars="200"/>
        <w:jc w:val="both"/>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本合同签署前，乙方已查看该房屋（土地），充分了解该房屋（土地）的性质、用途和现有状况，且明确认可。</w:t>
      </w:r>
    </w:p>
    <w:p w14:paraId="52C4999E">
      <w:pPr>
        <w:widowControl w:val="0"/>
        <w:numPr>
          <w:ilvl w:val="0"/>
          <w:numId w:val="2"/>
        </w:numPr>
        <w:spacing w:after="0" w:line="560" w:lineRule="exact"/>
        <w:ind w:firstLine="640" w:firstLineChars="200"/>
        <w:jc w:val="both"/>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资产用途</w:t>
      </w:r>
    </w:p>
    <w:p w14:paraId="74A1E90E">
      <w:pPr>
        <w:pStyle w:val="10"/>
        <w:spacing w:after="0" w:line="560" w:lineRule="exact"/>
        <w:ind w:firstLine="640"/>
        <w:jc w:val="both"/>
        <w:rPr>
          <w:rFonts w:ascii="仿宋_GB2312" w:hAnsi="仿宋_GB2312" w:eastAsia="仿宋_GB2312" w:cs="仿宋_GB2312"/>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乙方向甲方承诺，租赁该资产该场地仅用于危运车辆罐体洗消、检测功能使用</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sz w:val="32"/>
          <w:szCs w:val="32"/>
        </w:rPr>
        <w:t>过程中的全部风险和责任。除双方另有约定外，乙方不得随意改变资产用途，且不得擅自改变资产的房屋建筑结构。</w:t>
      </w:r>
    </w:p>
    <w:p w14:paraId="2ED66E83">
      <w:pPr>
        <w:widowControl w:val="0"/>
        <w:numPr>
          <w:ilvl w:val="0"/>
          <w:numId w:val="2"/>
        </w:numPr>
        <w:spacing w:after="0"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租赁期限</w:t>
      </w:r>
    </w:p>
    <w:p w14:paraId="021E8666">
      <w:pPr>
        <w:spacing w:after="0" w:line="560" w:lineRule="exact"/>
        <w:ind w:firstLine="640" w:firstLineChars="200"/>
        <w:jc w:val="both"/>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租赁期</w:t>
      </w:r>
      <w:r>
        <w:rPr>
          <w:rFonts w:hint="eastAsia" w:ascii="仿宋_GB2312" w:hAnsi="仿宋_GB2312" w:eastAsia="仿宋_GB2312" w:cs="仿宋_GB2312"/>
          <w:color w:val="000000" w:themeColor="text1"/>
          <w:sz w:val="32"/>
          <w:szCs w:val="32"/>
          <w14:textFill>
            <w14:solidFill>
              <w14:schemeClr w14:val="tx1"/>
            </w14:solidFill>
          </w14:textFill>
        </w:rPr>
        <w:t>限自</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日至</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w:t>
      </w:r>
    </w:p>
    <w:p w14:paraId="71C6B355">
      <w:pPr>
        <w:spacing w:after="0" w:line="560" w:lineRule="exact"/>
        <w:jc w:val="both"/>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日止。</w:t>
      </w:r>
    </w:p>
    <w:p w14:paraId="49A61257">
      <w:pPr>
        <w:spacing w:after="0" w:line="560" w:lineRule="exact"/>
        <w:ind w:firstLine="640" w:firstLineChars="200"/>
        <w:jc w:val="both"/>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甲方按现状交付，乙方应于</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日接收该房屋（土地），乙方未按照交付日期进行接收、办理接收手续的，视为甲方已按照合同约定以及约定的日期完成房屋（土地）交付</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6184AF5F">
      <w:pPr>
        <w:widowControl w:val="0"/>
        <w:numPr>
          <w:ilvl w:val="0"/>
          <w:numId w:val="2"/>
        </w:numPr>
        <w:spacing w:after="0"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租赁履约保证金</w:t>
      </w:r>
    </w:p>
    <w:p w14:paraId="56C782E9">
      <w:pPr>
        <w:widowControl w:val="0"/>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（一）为保证合同的履行，履约保证金</w:t>
      </w:r>
      <w:r>
        <w:rPr>
          <w:rFonts w:hint="eastAsia" w:ascii="仿宋_GB2312" w:hAnsi="仿宋_GB2312" w:eastAsia="仿宋_GB2312" w:cs="仿宋_GB2312"/>
          <w:sz w:val="32"/>
          <w:szCs w:val="32"/>
          <w:lang w:val="en-US" w:eastAsia="zh-CN"/>
        </w:rPr>
        <w:t>为人民币</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万元（大写：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元整）</w:t>
      </w:r>
      <w:r>
        <w:rPr>
          <w:rFonts w:hint="eastAsia" w:ascii="仿宋_GB2312" w:hAnsi="仿宋_GB2312" w:eastAsia="仿宋_GB2312" w:cs="仿宋_GB2312"/>
          <w:sz w:val="32"/>
          <w:szCs w:val="32"/>
        </w:rPr>
        <w:t>。本合同终止后，经甲方查实乙方无相关欠缴费用和其他应付未付款项或其他未履行事项后，履约保证金</w:t>
      </w:r>
      <w:r>
        <w:rPr>
          <w:rFonts w:ascii="仿宋_GB2312" w:hAnsi="仿宋_GB2312" w:eastAsia="仿宋_GB2312" w:cs="仿宋_GB2312"/>
          <w:sz w:val="32"/>
          <w:szCs w:val="32"/>
        </w:rPr>
        <w:t>在5个工作日内</w:t>
      </w:r>
      <w:r>
        <w:rPr>
          <w:rFonts w:hint="eastAsia" w:ascii="仿宋_GB2312" w:hAnsi="仿宋_GB2312" w:eastAsia="仿宋_GB2312" w:cs="仿宋_GB2312"/>
          <w:sz w:val="32"/>
          <w:szCs w:val="32"/>
        </w:rPr>
        <w:t>无息退还乙方。</w:t>
      </w:r>
    </w:p>
    <w:p w14:paraId="0125C441">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（二）乙方未按时支付有关费用的，甲方经通知乙方后有权从该履约保证金中扣减如下款项：</w:t>
      </w:r>
    </w:p>
    <w:p w14:paraId="4ED2262C">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1.租金及其他费用；</w:t>
      </w:r>
    </w:p>
    <w:p w14:paraId="6E861A1B">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2.乙方及其相关人员过错造成甲方的损失；</w:t>
      </w:r>
    </w:p>
    <w:p w14:paraId="79D235F5">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3.乙方依据本合同支付的违约金、滞纳金等；</w:t>
      </w:r>
    </w:p>
    <w:p w14:paraId="2B6FDC60">
      <w:pPr>
        <w:spacing w:after="0" w:line="560" w:lineRule="exact"/>
        <w:ind w:firstLine="640" w:firstLineChars="200"/>
        <w:jc w:val="both"/>
        <w:rPr>
          <w:rFonts w:hint="eastAsia" w:ascii="黑体" w:hAnsi="黑体" w:eastAsia="黑体" w:cs="黑体"/>
          <w:sz w:val="32"/>
          <w:szCs w:val="32"/>
        </w:rPr>
      </w:pPr>
      <w:r>
        <w:rPr>
          <w:rFonts w:hint="eastAsia" w:ascii="仿宋_GB2312" w:hAnsi="仿宋_GB2312" w:eastAsia="仿宋_GB2312" w:cs="仿宋_GB2312"/>
          <w:sz w:val="32"/>
          <w:szCs w:val="32"/>
        </w:rPr>
        <w:t>4.如履约保证金不足以支付上述费用，甲方有权继续向乙方进行追讨。本合同履行过程中，甲方以履约保证金抵扣上述款项后，乙方应在收到催缴通知日起7日内补足租赁履约保证金，否则，</w:t>
      </w:r>
      <w:r>
        <w:rPr>
          <w:rFonts w:hint="eastAsia" w:ascii="仿宋_GB2312" w:hAnsi="仿宋_GB2312" w:eastAsia="仿宋_GB2312" w:cs="仿宋_GB2312"/>
          <w:color w:val="auto"/>
          <w:sz w:val="32"/>
          <w:szCs w:val="32"/>
        </w:rPr>
        <w:t>每延迟一天，按应收额的5</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支付违约金，</w:t>
      </w:r>
      <w:r>
        <w:rPr>
          <w:rFonts w:hint="eastAsia" w:ascii="仿宋_GB2312" w:hAnsi="仿宋_GB2312" w:eastAsia="仿宋_GB2312" w:cs="仿宋_GB2312"/>
          <w:sz w:val="32"/>
          <w:szCs w:val="32"/>
        </w:rPr>
        <w:t>超过10日的，甲方有权解除本合同罚没履约保证金并要求乙方赔偿甲方所有损失。</w:t>
      </w:r>
    </w:p>
    <w:p w14:paraId="2229D4E8">
      <w:pPr>
        <w:spacing w:after="0"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第五条 租金及付款方式</w:t>
      </w:r>
    </w:p>
    <w:p w14:paraId="548107E8">
      <w:pPr>
        <w:spacing w:after="0" w:line="56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该资产（含税）年租金为人民币</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 xml:space="preserve">元。出租资产先付款后使用，租金一年一付，首年至第三年租金按前述金额支付，第四、五年租金按上浮5%支付。在此合同签订之日起 10 </w:t>
      </w:r>
      <w:r>
        <w:rPr>
          <w:rFonts w:hint="eastAsia" w:ascii="仿宋_GB2312" w:hAnsi="仿宋_GB2312" w:eastAsia="仿宋_GB2312" w:cs="仿宋_GB2312"/>
          <w:sz w:val="32"/>
          <w:szCs w:val="32"/>
          <w:lang w:val="en-US" w:eastAsia="zh-CN"/>
        </w:rPr>
        <w:t>日</w:t>
      </w:r>
      <w:r>
        <w:rPr>
          <w:rFonts w:hint="eastAsia" w:ascii="仿宋_GB2312" w:hAnsi="仿宋_GB2312" w:eastAsia="仿宋_GB2312" w:cs="仿宋_GB2312"/>
          <w:sz w:val="32"/>
          <w:szCs w:val="32"/>
        </w:rPr>
        <w:t>内乙方付清第一年租金，其他年度租金在该年度开始前一个月付清。</w:t>
      </w:r>
    </w:p>
    <w:p w14:paraId="1339ECC7">
      <w:pPr>
        <w:spacing w:after="0" w:line="560" w:lineRule="exact"/>
        <w:ind w:firstLine="640" w:firstLineChars="200"/>
        <w:jc w:val="both"/>
        <w:rPr>
          <w:rFonts w:ascii="黑体" w:hAnsi="黑体" w:eastAsia="黑体" w:cs="黑体"/>
          <w:sz w:val="32"/>
          <w:szCs w:val="32"/>
        </w:rPr>
      </w:pPr>
      <w:r>
        <w:rPr>
          <w:rFonts w:hint="eastAsia" w:ascii="黑体" w:hAnsi="黑体" w:eastAsia="黑体" w:cs="黑体"/>
          <w:sz w:val="32"/>
          <w:szCs w:val="32"/>
        </w:rPr>
        <w:t>第六条 资产租赁期间的相关费用</w:t>
      </w:r>
    </w:p>
    <w:p w14:paraId="6A292D15">
      <w:pPr>
        <w:spacing w:after="0" w:line="560" w:lineRule="exact"/>
        <w:ind w:firstLine="480" w:firstLineChars="15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）租赁期间，以下费用，除另有约定外，全部由乙方支付，并由乙方承担逾期付款的违约责任。如因乙方欠缴或逾期付款导致甲方承担责任的，甲方有权向乙方追缴。</w:t>
      </w:r>
    </w:p>
    <w:p w14:paraId="2D4DE639">
      <w:pPr>
        <w:widowControl w:val="0"/>
        <w:spacing w:after="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1.租赁资产发生的水电费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燃气费、物业管理费、卫生费、收视费、互联网费等；</w:t>
      </w:r>
    </w:p>
    <w:p w14:paraId="669E7387">
      <w:pPr>
        <w:widowControl w:val="0"/>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.其他与资产使用相关的税金或费用。</w:t>
      </w:r>
    </w:p>
    <w:p w14:paraId="28DA9DE9">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）乙方应对经营活动产生的噪音、废水、废气等进行妥善处理，不得为此影响周边居民和单位的正常工作、生活。由此产生的相关费用及处罚等由乙方自行承担。</w:t>
      </w:r>
    </w:p>
    <w:p w14:paraId="36751301">
      <w:pPr>
        <w:widowControl w:val="0"/>
        <w:numPr>
          <w:ilvl w:val="0"/>
          <w:numId w:val="3"/>
        </w:numPr>
        <w:spacing w:after="0" w:line="560" w:lineRule="exact"/>
        <w:ind w:left="0" w:firstLine="640"/>
        <w:jc w:val="both"/>
        <w:rPr>
          <w:rFonts w:ascii="黑体" w:hAnsi="黑体" w:eastAsia="黑体" w:cs="黑体"/>
          <w:sz w:val="32"/>
          <w:szCs w:val="32"/>
        </w:rPr>
      </w:pPr>
      <w:r>
        <w:rPr>
          <w:rFonts w:hint="eastAsia" w:ascii="黑体" w:hAnsi="黑体" w:eastAsia="黑体" w:cs="黑体"/>
          <w:sz w:val="32"/>
          <w:szCs w:val="32"/>
        </w:rPr>
        <w:t>甲方的权利与义务</w:t>
      </w:r>
    </w:p>
    <w:p w14:paraId="44A913AD">
      <w:pPr>
        <w:widowControl w:val="0"/>
        <w:numPr>
          <w:ilvl w:val="0"/>
          <w:numId w:val="0"/>
        </w:numPr>
        <w:spacing w:after="0" w:line="560" w:lineRule="exact"/>
        <w:ind w:left="0" w:leftChars="0" w:firstLine="640" w:firstLineChars="200"/>
        <w:jc w:val="both"/>
        <w:rPr>
          <w:rFonts w:ascii="仿宋_GB2312" w:hAnsi="仿宋_GB2312" w:eastAsia="仿宋_GB2312" w:cs="仿宋_GB2312"/>
          <w:sz w:val="32"/>
          <w:szCs w:val="32"/>
        </w:rPr>
      </w:pPr>
      <w:r>
        <w:rPr>
          <w:rFonts w:ascii="仿宋_GB2312" w:hAnsi="仿宋_GB2312" w:eastAsia="仿宋_GB2312" w:cs="仿宋_GB2312"/>
          <w:kern w:val="2"/>
          <w:sz w:val="32"/>
          <w:szCs w:val="32"/>
          <w:lang w:val="en-US" w:eastAsia="zh-CN" w:bidi="ar-SA"/>
        </w:rPr>
        <w:t>（一）</w:t>
      </w:r>
      <w:r>
        <w:rPr>
          <w:rFonts w:hint="eastAsia" w:ascii="仿宋_GB2312" w:hAnsi="仿宋_GB2312" w:eastAsia="仿宋_GB2312" w:cs="仿宋_GB2312"/>
          <w:sz w:val="32"/>
          <w:szCs w:val="32"/>
        </w:rPr>
        <w:t>租赁期间，甲方不得无故解除合同。因拆迁、征用、规划调整等政策性原因或遇不可抗拒的自然灾害等原因导致资产不能使用时，双方互不承担责任，所产生的经济损失由双方各自承担。租赁资产如因拆迁、征用、规划调整等政策性原因无法继续租赁的甲方应提前一个月通知乙方，合同自乙方接甲方通知约定之日起自行解除，同时乙方需在接甲方通知一个月内将租赁资产无条件退还甲方，租金按实结算。资产拆迁权益由甲方享有，但法律、法规规定</w:t>
      </w:r>
      <w:r>
        <w:rPr>
          <w:rFonts w:hint="eastAsia" w:ascii="仿宋_GB2312" w:hAnsi="仿宋_GB2312" w:eastAsia="仿宋_GB2312" w:cs="仿宋_GB2312"/>
          <w:sz w:val="32"/>
          <w:szCs w:val="32"/>
          <w:lang w:val="en-US" w:eastAsia="zh-CN"/>
        </w:rPr>
        <w:t>应当</w:t>
      </w:r>
      <w:r>
        <w:rPr>
          <w:rFonts w:hint="eastAsia" w:ascii="仿宋_GB2312" w:hAnsi="仿宋_GB2312" w:eastAsia="仿宋_GB2312" w:cs="仿宋_GB2312"/>
          <w:sz w:val="32"/>
          <w:szCs w:val="32"/>
        </w:rPr>
        <w:t>由乙方享有的除外。</w:t>
      </w:r>
    </w:p>
    <w:p w14:paraId="755F86D5">
      <w:pPr>
        <w:widowControl w:val="0"/>
        <w:numPr>
          <w:ilvl w:val="0"/>
          <w:numId w:val="0"/>
        </w:numPr>
        <w:spacing w:after="0" w:line="560" w:lineRule="exact"/>
        <w:ind w:left="0" w:leftChars="0"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（二）</w:t>
      </w:r>
      <w:r>
        <w:rPr>
          <w:rFonts w:hint="eastAsia" w:ascii="仿宋_GB2312" w:hAnsi="仿宋_GB2312" w:eastAsia="仿宋_GB2312" w:cs="仿宋_GB2312"/>
          <w:sz w:val="32"/>
          <w:szCs w:val="32"/>
        </w:rPr>
        <w:t>未经甲方书面同意，乙方不得擅自直接或变相全部或部分转租、转让、转借租赁资产，或擅自与第三方互换租赁物使用，不得擅自改变资产用途或拆改结构，不得将所租资产作任何形式的抵押或担保，不得违反国家法律、法规从事非法经营，或从事其他损害公共利益的违法违规活动，否则甲方有权解除本合同，收回租赁资产，没收乙方的全部履约保证金及本年度剩余租金；若甲方因此遭受损失的，乙方还应承担全部的赔偿责任。由此产生的一切损失及后果均由乙方承担，与甲方无涉。</w:t>
      </w:r>
    </w:p>
    <w:p w14:paraId="7A5ECE31">
      <w:pPr>
        <w:widowControl w:val="0"/>
        <w:numPr>
          <w:ilvl w:val="0"/>
          <w:numId w:val="3"/>
        </w:numPr>
        <w:spacing w:after="0" w:line="560" w:lineRule="exact"/>
        <w:ind w:left="0" w:firstLine="640"/>
        <w:jc w:val="both"/>
        <w:rPr>
          <w:rFonts w:ascii="黑体" w:hAnsi="黑体" w:eastAsia="黑体" w:cs="黑体"/>
          <w:sz w:val="32"/>
          <w:szCs w:val="32"/>
        </w:rPr>
      </w:pPr>
      <w:r>
        <w:rPr>
          <w:rFonts w:hint="eastAsia" w:ascii="黑体" w:hAnsi="黑体" w:eastAsia="黑体" w:cs="黑体"/>
          <w:sz w:val="32"/>
          <w:szCs w:val="32"/>
        </w:rPr>
        <w:t>乙方的权利与义务</w:t>
      </w:r>
    </w:p>
    <w:p w14:paraId="2ECADFE2">
      <w:pPr>
        <w:widowControl w:val="0"/>
        <w:numPr>
          <w:ilvl w:val="0"/>
          <w:numId w:val="4"/>
        </w:num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乙方在资产租赁期间必须遵纪守法，承担租赁期间的房屋防火、防盗及门前卫生责任，不得利用租赁资产进行违法违纪活动，若发生违法违纪事件由乙方承担后果。乙方经营所涉事项与甲方无关。</w:t>
      </w:r>
    </w:p>
    <w:p w14:paraId="29144304">
      <w:pPr>
        <w:widowControl w:val="0"/>
        <w:numPr>
          <w:ilvl w:val="0"/>
          <w:numId w:val="5"/>
        </w:numPr>
        <w:spacing w:after="0" w:line="560" w:lineRule="exact"/>
        <w:ind w:firstLine="640" w:firstLineChars="200"/>
        <w:jc w:val="both"/>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乙方不得将所租资产作任何形式的抵押或担保，资产租赁期间房屋维修养护等费用由乙方负责，同时乙方必须保持房屋整体结构不受破坏,擅自拆改结构或改变用途造成损失的由乙方赔偿损失。</w:t>
      </w:r>
      <w:r>
        <w:rPr>
          <w:rFonts w:hint="eastAsia" w:ascii="仿宋_GB2312" w:hAnsi="仿宋_GB2312" w:eastAsia="仿宋_GB2312" w:cs="仿宋_GB2312"/>
          <w:sz w:val="32"/>
          <w:szCs w:val="32"/>
          <w:highlight w:val="none"/>
          <w:lang w:val="en-US" w:eastAsia="zh-CN"/>
        </w:rPr>
        <w:t>未经甲方书面同意，乙方</w:t>
      </w:r>
      <w:r>
        <w:rPr>
          <w:rFonts w:hint="eastAsia" w:ascii="仿宋_GB2312" w:hAnsi="仿宋_GB2312" w:eastAsia="仿宋_GB2312" w:cs="仿宋_GB2312"/>
          <w:sz w:val="32"/>
          <w:szCs w:val="32"/>
          <w:highlight w:val="none"/>
        </w:rPr>
        <w:t>不得装修和搭建临时建筑物</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经甲方同意装修和搭建的，租赁期满时，除可以搬迁的动产外，其他部分无条件无偿归甲方所有。乙方不得</w:t>
      </w:r>
      <w:r>
        <w:rPr>
          <w:rFonts w:hint="eastAsia" w:ascii="仿宋_GB2312" w:hAnsi="仿宋_GB2312" w:eastAsia="仿宋_GB2312" w:cs="仿宋_GB2312"/>
          <w:color w:val="000000" w:themeColor="text1"/>
          <w:sz w:val="32"/>
          <w:szCs w:val="32"/>
          <w:highlight w:val="none"/>
          <w14:textFill>
            <w14:solidFill>
              <w14:schemeClr w14:val="tx1"/>
            </w14:solidFill>
          </w14:textFill>
        </w:rPr>
        <w:t>拆除</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甲方</w:t>
      </w:r>
      <w:r>
        <w:rPr>
          <w:rFonts w:hint="eastAsia" w:ascii="仿宋_GB2312" w:hAnsi="仿宋_GB2312" w:eastAsia="仿宋_GB2312" w:cs="仿宋_GB2312"/>
          <w:color w:val="000000" w:themeColor="text1"/>
          <w:sz w:val="32"/>
          <w:szCs w:val="32"/>
          <w:highlight w:val="none"/>
          <w14:textFill>
            <w14:solidFill>
              <w14:schemeClr w14:val="tx1"/>
            </w14:solidFill>
          </w14:textFill>
        </w:rPr>
        <w:t>所有</w:t>
      </w:r>
      <w:r>
        <w:rPr>
          <w:rFonts w:hint="eastAsia" w:ascii="仿宋_GB2312" w:hAnsi="仿宋_GB2312" w:eastAsia="仿宋_GB2312" w:cs="仿宋_GB2312"/>
          <w:sz w:val="32"/>
          <w:szCs w:val="32"/>
          <w:highlight w:val="none"/>
        </w:rPr>
        <w:t>不动产部分（包括装潢部分），乙方</w:t>
      </w:r>
      <w:r>
        <w:rPr>
          <w:rFonts w:hint="eastAsia" w:ascii="仿宋_GB2312" w:hAnsi="仿宋_GB2312" w:eastAsia="仿宋_GB2312" w:cs="仿宋_GB2312"/>
          <w:sz w:val="32"/>
          <w:szCs w:val="32"/>
          <w:highlight w:val="none"/>
          <w:lang w:val="en-US" w:eastAsia="zh-CN"/>
        </w:rPr>
        <w:t>在场地内放置</w:t>
      </w:r>
      <w:r>
        <w:rPr>
          <w:rFonts w:hint="eastAsia" w:ascii="仿宋_GB2312" w:hAnsi="仿宋_GB2312" w:eastAsia="仿宋_GB2312" w:cs="仿宋_GB2312"/>
          <w:sz w:val="32"/>
          <w:szCs w:val="32"/>
          <w:highlight w:val="none"/>
        </w:rPr>
        <w:t>的</w:t>
      </w:r>
      <w:r>
        <w:rPr>
          <w:rFonts w:hint="eastAsia" w:ascii="仿宋_GB2312" w:hAnsi="仿宋_GB2312" w:eastAsia="仿宋_GB2312" w:cs="仿宋_GB2312"/>
          <w:sz w:val="32"/>
          <w:szCs w:val="32"/>
          <w:highlight w:val="none"/>
          <w:lang w:val="en-US" w:eastAsia="zh-CN"/>
        </w:rPr>
        <w:t>动产</w:t>
      </w:r>
      <w:r>
        <w:rPr>
          <w:rFonts w:hint="eastAsia" w:ascii="仿宋_GB2312" w:hAnsi="仿宋_GB2312" w:eastAsia="仿宋_GB2312" w:cs="仿宋_GB2312"/>
          <w:sz w:val="32"/>
          <w:szCs w:val="32"/>
          <w:highlight w:val="none"/>
        </w:rPr>
        <w:t>、设备，</w:t>
      </w:r>
      <w:r>
        <w:rPr>
          <w:rFonts w:hint="eastAsia" w:ascii="仿宋_GB2312" w:hAnsi="仿宋_GB2312" w:eastAsia="仿宋_GB2312" w:cs="仿宋_GB2312"/>
          <w:sz w:val="32"/>
          <w:szCs w:val="32"/>
          <w:highlight w:val="none"/>
          <w:lang w:val="en-US" w:eastAsia="zh-CN"/>
        </w:rPr>
        <w:t>可</w:t>
      </w:r>
      <w:r>
        <w:rPr>
          <w:rFonts w:hint="eastAsia" w:ascii="仿宋_GB2312" w:hAnsi="仿宋_GB2312" w:eastAsia="仿宋_GB2312" w:cs="仿宋_GB2312"/>
          <w:sz w:val="32"/>
          <w:szCs w:val="32"/>
          <w:highlight w:val="none"/>
        </w:rPr>
        <w:t>由乙方自行处理。租赁期满，乙方交还租赁资产时甲方要求乙方恢复租赁资产原状的，乙方应无条件予以遵从并承担恢复原状费用。</w:t>
      </w:r>
    </w:p>
    <w:p w14:paraId="57C48A98">
      <w:pPr>
        <w:widowControl w:val="0"/>
        <w:numPr>
          <w:ilvl w:val="0"/>
          <w:numId w:val="0"/>
        </w:numPr>
        <w:spacing w:after="0" w:line="560" w:lineRule="exact"/>
        <w:ind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甲乙双方一致确认，甲方交付给乙方的</w:t>
      </w:r>
      <w:r>
        <w:rPr>
          <w:rFonts w:hint="eastAsia" w:ascii="仿宋_GB2312" w:hAnsi="仿宋_GB2312" w:eastAsia="仿宋_GB2312" w:cs="仿宋_GB2312"/>
          <w:sz w:val="32"/>
          <w:szCs w:val="32"/>
          <w:highlight w:val="none"/>
        </w:rPr>
        <w:t>宁波石化经济技术开发区通港路199号</w:t>
      </w:r>
      <w:r>
        <w:rPr>
          <w:rFonts w:hint="eastAsia" w:ascii="仿宋_GB2312" w:hAnsi="仿宋_GB2312" w:eastAsia="仿宋_GB2312" w:cs="仿宋_GB2312"/>
          <w:sz w:val="32"/>
          <w:szCs w:val="32"/>
          <w:highlight w:val="none"/>
          <w:lang w:val="en-US" w:eastAsia="zh-CN"/>
        </w:rPr>
        <w:t>洗消项目的厂房、场地、设施，质量均合格、合法且没有问题，在使用过程中</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，如非因自然老化导致的损坏，均应由乙方承担维修</w:t>
      </w:r>
      <w:r>
        <w:rPr>
          <w:rFonts w:hint="eastAsia" w:ascii="仿宋_GB2312" w:hAnsi="仿宋_GB2312" w:eastAsia="仿宋_GB2312" w:cs="仿宋_GB2312"/>
          <w:sz w:val="32"/>
          <w:szCs w:val="32"/>
          <w:highlight w:val="none"/>
          <w:lang w:val="en-US" w:eastAsia="zh-CN"/>
        </w:rPr>
        <w:t>责任，如修复不能，乙方应承担赔偿责任。</w:t>
      </w:r>
    </w:p>
    <w:p w14:paraId="3D76FCD7">
      <w:pPr>
        <w:widowControl w:val="0"/>
        <w:numPr>
          <w:ilvl w:val="0"/>
          <w:numId w:val="5"/>
        </w:num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highlight w:val="none"/>
          <w:lang w:val="en-US" w:eastAsia="zh-CN"/>
        </w:rPr>
        <w:t>合同期内，乙方若要终止租赁关系，须提前叁个月书面通知甲方，并经甲方书面同意，乙方需向甲方支付叁个月的当期租金作为违约金；若乙方未提前叁个月告知即解除本合同的，除向甲方支付叁个月的当期 租金外，甲方有权没收全部履约保证金及本年剩余租金，有其他违约情形的还应承担相应违约责任。</w:t>
      </w:r>
    </w:p>
    <w:p w14:paraId="3987596B">
      <w:pPr>
        <w:widowControl w:val="0"/>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四）乙方在经营过程中，由于乙方原因造成双方或第三者财产损失、人身损害或其他侵权的，由乙方自行承担一切责任与损失；若甲方因此遭受损失或被索赔的，有权向乙方追偿，并要求乙方承担甲方为此事项支付的所有费用（包括但不限于差旅费、公证费、律师费、保全费、鉴定费等）。</w:t>
      </w:r>
    </w:p>
    <w:p w14:paraId="2EFD14F1">
      <w:pPr>
        <w:widowControl w:val="0"/>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（五）租赁期间，乙方应服从应急管理、交通执法、综合行政执法、环保执法等部门监管、检查，按要求及时做好整改工作。同时负责做好租赁资产的消防、安全、卫生等工作，甲方有权予以督促。</w:t>
      </w:r>
    </w:p>
    <w:p w14:paraId="20B4D439">
      <w:pPr>
        <w:widowControl w:val="0"/>
        <w:numPr>
          <w:ilvl w:val="0"/>
          <w:numId w:val="3"/>
        </w:numPr>
        <w:spacing w:after="0" w:line="560" w:lineRule="exact"/>
        <w:ind w:left="0" w:firstLine="640"/>
        <w:jc w:val="both"/>
        <w:rPr>
          <w:rFonts w:ascii="黑体" w:hAnsi="黑体" w:eastAsia="黑体" w:cs="黑体"/>
          <w:sz w:val="32"/>
          <w:szCs w:val="32"/>
        </w:rPr>
      </w:pPr>
      <w:r>
        <w:rPr>
          <w:rFonts w:hint="eastAsia" w:ascii="黑体" w:hAnsi="黑体" w:eastAsia="黑体" w:cs="黑体"/>
          <w:sz w:val="32"/>
          <w:szCs w:val="32"/>
        </w:rPr>
        <w:t>租赁期满</w:t>
      </w:r>
    </w:p>
    <w:p w14:paraId="24C1ED71">
      <w:pPr>
        <w:widowControl w:val="0"/>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租赁期满后，本合同即终止，届时乙方须在15日内将租赁资产无条件退还甲方，否则，甲方可采用停水、停电等强制性措施且无需承担任何责任，无需向乙方赔偿；乙方逾期交还租赁资产期间按原租金三倍向甲方支付违约金。如</w:t>
      </w:r>
      <w:r>
        <w:rPr>
          <w:rFonts w:ascii="仿宋_GB2312" w:hAnsi="仿宋_GB2312" w:eastAsia="仿宋_GB2312" w:cs="仿宋_GB2312"/>
          <w:sz w:val="32"/>
          <w:szCs w:val="32"/>
        </w:rPr>
        <w:t>逾期</w:t>
      </w:r>
      <w:r>
        <w:rPr>
          <w:rFonts w:hint="eastAsia" w:ascii="仿宋_GB2312" w:hAnsi="仿宋_GB2312" w:eastAsia="仿宋_GB2312" w:cs="仿宋_GB2312"/>
          <w:sz w:val="32"/>
          <w:szCs w:val="32"/>
        </w:rPr>
        <w:t>或催告后乙方仍</w:t>
      </w:r>
      <w:r>
        <w:rPr>
          <w:rFonts w:ascii="仿宋_GB2312" w:hAnsi="仿宋_GB2312" w:eastAsia="仿宋_GB2312" w:cs="仿宋_GB2312"/>
          <w:sz w:val="32"/>
          <w:szCs w:val="32"/>
        </w:rPr>
        <w:t>未腾退</w:t>
      </w:r>
      <w:r>
        <w:rPr>
          <w:rFonts w:hint="eastAsia" w:ascii="仿宋_GB2312" w:hAnsi="仿宋_GB2312" w:eastAsia="仿宋_GB2312" w:cs="仿宋_GB2312"/>
          <w:sz w:val="32"/>
          <w:szCs w:val="32"/>
        </w:rPr>
        <w:t>的，乙方遗留的所有财物作为乙方的遗弃物无偿归甲方所有，由甲方自行处理。</w:t>
      </w:r>
    </w:p>
    <w:p w14:paraId="2B4F16C9">
      <w:pPr>
        <w:widowControl w:val="0"/>
        <w:numPr>
          <w:ilvl w:val="0"/>
          <w:numId w:val="3"/>
        </w:numPr>
        <w:spacing w:after="0" w:line="560" w:lineRule="exact"/>
        <w:ind w:left="0" w:firstLine="640"/>
        <w:jc w:val="both"/>
        <w:rPr>
          <w:rFonts w:ascii="黑体" w:hAnsi="黑体" w:eastAsia="黑体" w:cs="黑体"/>
          <w:sz w:val="32"/>
          <w:szCs w:val="32"/>
        </w:rPr>
      </w:pPr>
      <w:r>
        <w:rPr>
          <w:rFonts w:hint="eastAsia" w:ascii="黑体" w:hAnsi="黑体" w:eastAsia="黑体" w:cs="黑体"/>
          <w:sz w:val="32"/>
          <w:szCs w:val="32"/>
        </w:rPr>
        <w:t>争议处理方式</w:t>
      </w:r>
    </w:p>
    <w:p w14:paraId="465A01E6">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（一）本合同受中华人民共和国法律管辖并按其进行解释。</w:t>
      </w:r>
    </w:p>
    <w:p w14:paraId="73760B6A">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（二）本合同在履行过程中发生的争议由双方当事人协商解决，也可由有关部门调解协商或调解不成的按下列第</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2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种方式解决</w:t>
      </w:r>
    </w:p>
    <w:p w14:paraId="3E1E36BA">
      <w:pPr>
        <w:spacing w:after="0" w:line="56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1.提交</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仲裁委员会仲裁</w:t>
      </w:r>
      <w:r>
        <w:rPr>
          <w:rFonts w:hint="eastAsia" w:ascii="仿宋_GB2312" w:hAnsi="仿宋_GB2312" w:eastAsia="仿宋_GB2312" w:cs="仿宋_GB2312"/>
          <w:sz w:val="32"/>
          <w:szCs w:val="32"/>
          <w:lang w:eastAsia="zh-CN"/>
        </w:rPr>
        <w:t>。</w:t>
      </w:r>
    </w:p>
    <w:p w14:paraId="57E6212C">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2.依法向</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租赁资产</w:t>
      </w:r>
      <w:r>
        <w:rPr>
          <w:rFonts w:hint="eastAsia" w:ascii="仿宋_GB2312" w:hAnsi="仿宋_GB2312" w:eastAsia="仿宋_GB2312" w:cs="仿宋_GB2312"/>
          <w:sz w:val="32"/>
          <w:szCs w:val="32"/>
          <w:u w:val="single"/>
        </w:rPr>
        <w:t xml:space="preserve">所在地   </w:t>
      </w:r>
      <w:r>
        <w:rPr>
          <w:rFonts w:hint="eastAsia" w:ascii="仿宋_GB2312" w:hAnsi="仿宋_GB2312" w:eastAsia="仿宋_GB2312" w:cs="仿宋_GB2312"/>
          <w:sz w:val="32"/>
          <w:szCs w:val="32"/>
        </w:rPr>
        <w:t>人民法院起诉。</w:t>
      </w:r>
    </w:p>
    <w:p w14:paraId="7DE42A24">
      <w:pPr>
        <w:widowControl w:val="0"/>
        <w:numPr>
          <w:ilvl w:val="0"/>
          <w:numId w:val="3"/>
        </w:numPr>
        <w:spacing w:after="0" w:line="560" w:lineRule="exact"/>
        <w:ind w:left="0" w:firstLine="640"/>
        <w:jc w:val="both"/>
        <w:rPr>
          <w:rFonts w:ascii="黑体" w:hAnsi="黑体" w:eastAsia="黑体" w:cs="黑体"/>
          <w:sz w:val="32"/>
          <w:szCs w:val="32"/>
        </w:rPr>
      </w:pPr>
      <w:r>
        <w:rPr>
          <w:rFonts w:hint="eastAsia" w:ascii="黑体" w:hAnsi="黑体" w:eastAsia="黑体" w:cs="黑体"/>
          <w:sz w:val="32"/>
          <w:szCs w:val="32"/>
        </w:rPr>
        <w:t>其他约定事项</w:t>
      </w:r>
    </w:p>
    <w:p w14:paraId="2496D9FE">
      <w:pPr>
        <w:widowControl w:val="0"/>
        <w:numPr>
          <w:ilvl w:val="0"/>
          <w:numId w:val="6"/>
        </w:num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对于本合同未尽事项，双方可另行签订补充协议，补充协议作为本合同的附件，具有同等法律效力。</w:t>
      </w:r>
    </w:p>
    <w:p w14:paraId="4121391B">
      <w:pPr>
        <w:widowControl w:val="0"/>
        <w:numPr>
          <w:ilvl w:val="0"/>
          <w:numId w:val="6"/>
        </w:num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本合同须经甲乙双方签字并盖章后生效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本合同一式肆份，甲乙双方各执贰份，均具有同等的法律效力。</w:t>
      </w:r>
    </w:p>
    <w:p w14:paraId="0F552262">
      <w:pPr>
        <w:widowControl w:val="0"/>
        <w:numPr>
          <w:ilvl w:val="0"/>
          <w:numId w:val="6"/>
        </w:num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本协议为双方平等、自愿协商的结果，是双方真实意思的表示，并且公平、合理，不存在任何重大误解、显失公平、欺诈、胁迫或乘人之危之情形。</w:t>
      </w:r>
    </w:p>
    <w:p w14:paraId="6C299AFE">
      <w:pPr>
        <w:spacing w:after="0" w:line="560" w:lineRule="exact"/>
        <w:ind w:firstLine="640" w:firstLineChars="200"/>
        <w:rPr>
          <w:rFonts w:ascii="仿宋_GB2312" w:hAnsi="仿宋_GB2312" w:eastAsia="仿宋_GB2312" w:cs="仿宋_GB2312"/>
          <w:sz w:val="32"/>
          <w:szCs w:val="32"/>
        </w:rPr>
      </w:pPr>
    </w:p>
    <w:p w14:paraId="62778FB4">
      <w:pPr>
        <w:spacing w:after="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甲方签字(盖章)：            乙方签字(盖章)：</w:t>
      </w:r>
    </w:p>
    <w:p w14:paraId="5D299DD0">
      <w:pPr>
        <w:spacing w:after="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                 法定代表人：</w:t>
      </w:r>
    </w:p>
    <w:p w14:paraId="71A4AAF1">
      <w:pPr>
        <w:spacing w:after="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地址：                       地址：</w:t>
      </w:r>
    </w:p>
    <w:p w14:paraId="6A5AD95A">
      <w:pPr>
        <w:spacing w:after="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联系电话：                   联系电话：</w:t>
      </w:r>
    </w:p>
    <w:p w14:paraId="0C04DDAB">
      <w:pPr>
        <w:spacing w:after="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委托代理人：                 委托代理人：</w:t>
      </w:r>
    </w:p>
    <w:p w14:paraId="623C4429">
      <w:pPr>
        <w:spacing w:after="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身份证号码：                 身份证号码：</w:t>
      </w:r>
    </w:p>
    <w:p w14:paraId="05EB9B1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  月  日                   年  月  日</w:t>
      </w:r>
    </w:p>
    <w:p w14:paraId="09B2A13E">
      <w:pPr>
        <w:ind w:firstLine="640" w:firstLineChars="200"/>
        <w:rPr>
          <w:rFonts w:hint="eastAsia" w:ascii="仿宋_GB2312" w:hAnsi="仿宋_GB2312" w:eastAsia="仿宋_GB2312" w:cs="仿宋_GB2312"/>
          <w:sz w:val="32"/>
          <w:szCs w:val="32"/>
        </w:rPr>
      </w:pPr>
    </w:p>
    <w:p w14:paraId="690E25F8">
      <w:pPr>
        <w:rPr>
          <w:rFonts w:hint="eastAsia" w:ascii="仿宋_GB2312" w:hAnsi="仿宋_GB2312" w:eastAsia="仿宋_GB2312" w:cs="仿宋_GB2312"/>
          <w:sz w:val="32"/>
          <w:szCs w:val="32"/>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附件一：（资产平面图）</w:t>
      </w:r>
      <w:r>
        <w:rPr>
          <w:rFonts w:hint="eastAsia" w:ascii="仿宋_GB2312" w:hAnsi="仿宋_GB2312" w:eastAsia="仿宋_GB2312" w:cs="仿宋_GB2312"/>
          <w:color w:val="000000" w:themeColor="text1"/>
          <w:sz w:val="32"/>
          <w:szCs w:val="32"/>
          <w:lang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398780</wp:posOffset>
            </wp:positionH>
            <wp:positionV relativeFrom="paragraph">
              <wp:posOffset>538480</wp:posOffset>
            </wp:positionV>
            <wp:extent cx="4594860" cy="6531610"/>
            <wp:effectExtent l="0" t="0" r="15240" b="2540"/>
            <wp:wrapTopAndBottom/>
            <wp:docPr id="1" name="图片 1" descr="产权证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产权证_00"/>
                    <pic:cNvPicPr>
                      <a:picLocks noChangeAspect="1"/>
                    </pic:cNvPicPr>
                  </pic:nvPicPr>
                  <pic:blipFill>
                    <a:blip r:embed="rId6"/>
                    <a:srcRect l="2501" t="-1083" r="2837" b="5195"/>
                    <a:stretch>
                      <a:fillRect/>
                    </a:stretch>
                  </pic:blipFill>
                  <pic:spPr>
                    <a:xfrm>
                      <a:off x="0" y="0"/>
                      <a:ext cx="4594860" cy="6531610"/>
                    </a:xfrm>
                    <a:prstGeom prst="rect">
                      <a:avLst/>
                    </a:prstGeom>
                  </pic:spPr>
                </pic:pic>
              </a:graphicData>
            </a:graphic>
          </wp:anchor>
        </w:drawing>
      </w:r>
    </w:p>
    <w:p w14:paraId="7E6BD4DB">
      <w:pPr>
        <w:ind w:firstLine="640" w:firstLineChars="200"/>
        <w:rPr>
          <w:rFonts w:hint="eastAsia" w:ascii="仿宋_GB2312" w:hAnsi="仿宋_GB2312" w:eastAsia="仿宋_GB2312" w:cs="仿宋_GB2312"/>
          <w:sz w:val="32"/>
          <w:szCs w:val="32"/>
        </w:rPr>
      </w:pPr>
    </w:p>
    <w:p w14:paraId="4F36B84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snapToGrid w:val="0"/>
          <w:kern w:val="21"/>
          <w:sz w:val="28"/>
          <w:szCs w:val="28"/>
        </w:rPr>
      </w:pPr>
    </w:p>
    <w:p w14:paraId="7D8826A4">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_GB2312" w:hAnsi="仿宋_GB2312" w:eastAsia="仿宋_GB2312" w:cs="仿宋_GB2312"/>
          <w:spacing w:val="-4"/>
          <w:sz w:val="32"/>
          <w:szCs w:val="32"/>
          <w:lang w:val="en-US" w:eastAsia="zh-CN"/>
        </w:rPr>
        <w:sectPr>
          <w:headerReference r:id="rId3" w:type="default"/>
          <w:footerReference r:id="rId4" w:type="default"/>
          <w:pgSz w:w="11906" w:h="16839"/>
          <w:pgMar w:top="1118" w:right="1785" w:bottom="1156" w:left="1785" w:header="878" w:footer="994" w:gutter="0"/>
          <w:pgNumType w:fmt="numberInDash"/>
          <w:cols w:equalWidth="0" w:num="1">
            <w:col w:w="8335"/>
          </w:cols>
        </w:sectPr>
      </w:pPr>
      <w:r>
        <w:rPr>
          <w:rFonts w:hint="eastAsia" w:ascii="宋体" w:hAnsi="宋体" w:cs="宋体"/>
          <w:snapToGrid w:val="0"/>
          <w:kern w:val="21"/>
          <w:sz w:val="28"/>
          <w:szCs w:val="28"/>
        </w:rPr>
        <w:t>注：租赁范本合同仅供参考，最终签订版应经法务部门或第三方法律顾问审核</w:t>
      </w:r>
    </w:p>
    <w:p w14:paraId="49EE3CD0">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出租资产安全责任告知书</w:t>
      </w:r>
    </w:p>
    <w:p w14:paraId="4B4BE01E">
      <w:pPr>
        <w:spacing w:line="560" w:lineRule="exact"/>
        <w:rPr>
          <w:rFonts w:ascii="仿宋" w:hAnsi="仿宋" w:eastAsia="仿宋" w:cs="仿宋"/>
          <w:sz w:val="28"/>
          <w:szCs w:val="28"/>
        </w:rPr>
      </w:pPr>
      <w:r>
        <w:rPr>
          <w:rFonts w:hint="eastAsia" w:ascii="仿宋" w:hAnsi="仿宋" w:eastAsia="仿宋" w:cs="仿宋"/>
          <w:sz w:val="28"/>
          <w:szCs w:val="28"/>
        </w:rPr>
        <w:t>出租方：宁波市镇海区危化品运输综合服务有限公司</w:t>
      </w:r>
    </w:p>
    <w:p w14:paraId="6185101F">
      <w:pPr>
        <w:spacing w:line="560" w:lineRule="exact"/>
        <w:rPr>
          <w:rFonts w:ascii="仿宋" w:hAnsi="仿宋" w:eastAsia="仿宋" w:cs="仿宋"/>
          <w:sz w:val="28"/>
          <w:szCs w:val="28"/>
        </w:rPr>
      </w:pPr>
      <w:r>
        <w:rPr>
          <w:rFonts w:hint="eastAsia" w:ascii="仿宋" w:hAnsi="仿宋" w:eastAsia="仿宋" w:cs="仿宋"/>
          <w:sz w:val="28"/>
          <w:szCs w:val="28"/>
        </w:rPr>
        <w:t>承租方：</w:t>
      </w:r>
    </w:p>
    <w:p w14:paraId="29A58B6F">
      <w:pPr>
        <w:widowControl/>
        <w:spacing w:line="600" w:lineRule="exact"/>
        <w:ind w:firstLine="560" w:firstLineChars="200"/>
        <w:rPr>
          <w:rFonts w:ascii="仿宋" w:hAnsi="仿宋" w:eastAsia="仿宋" w:cs="仿宋"/>
          <w:sz w:val="28"/>
          <w:szCs w:val="28"/>
        </w:rPr>
      </w:pPr>
      <w:r>
        <w:rPr>
          <w:rFonts w:hint="eastAsia" w:ascii="仿宋" w:hAnsi="仿宋" w:eastAsia="仿宋" w:cs="仿宋"/>
          <w:sz w:val="28"/>
          <w:szCs w:val="28"/>
        </w:rPr>
        <w:t>为认真贯彻浙公办〔2017〕144号文件</w:t>
      </w:r>
      <w:r>
        <w:rPr>
          <w:rFonts w:hint="eastAsia" w:eastAsia="仿宋_GB2312"/>
          <w:sz w:val="32"/>
          <w:szCs w:val="32"/>
        </w:rPr>
        <w:t>精神，</w:t>
      </w:r>
      <w:r>
        <w:rPr>
          <w:rFonts w:hint="eastAsia" w:ascii="仿宋" w:hAnsi="仿宋" w:eastAsia="仿宋" w:cs="仿宋"/>
          <w:sz w:val="28"/>
          <w:szCs w:val="28"/>
        </w:rPr>
        <w:t>切实加强安全防范意识，明确安全责任，确保出租资产租赁双方的利益，根据国家安全和消防相关法律法规规定，按照“谁承租、谁负责”的原则，经双方协商一致，签订出租资产安全责任告知书，具体内容如下：</w:t>
      </w:r>
    </w:p>
    <w:p w14:paraId="6C983430">
      <w:pPr>
        <w:spacing w:line="560" w:lineRule="exact"/>
        <w:rPr>
          <w:rFonts w:ascii="仿宋" w:hAnsi="仿宋" w:eastAsia="仿宋" w:cs="仿宋"/>
          <w:sz w:val="28"/>
          <w:szCs w:val="28"/>
        </w:rPr>
      </w:pPr>
      <w:r>
        <w:rPr>
          <w:rFonts w:hint="eastAsia" w:ascii="仿宋" w:hAnsi="仿宋" w:eastAsia="仿宋" w:cs="仿宋"/>
          <w:b/>
          <w:bCs/>
          <w:sz w:val="28"/>
          <w:szCs w:val="28"/>
        </w:rPr>
        <w:t xml:space="preserve"> 一、安全责任</w:t>
      </w:r>
    </w:p>
    <w:p w14:paraId="51D4F308">
      <w:pPr>
        <w:spacing w:line="560" w:lineRule="exact"/>
        <w:rPr>
          <w:rFonts w:ascii="仿宋" w:hAnsi="仿宋" w:eastAsia="仿宋" w:cs="仿宋"/>
          <w:sz w:val="28"/>
          <w:szCs w:val="28"/>
        </w:rPr>
      </w:pPr>
      <w:r>
        <w:rPr>
          <w:rFonts w:hint="eastAsia" w:ascii="仿宋" w:hAnsi="仿宋" w:eastAsia="仿宋" w:cs="仿宋"/>
          <w:sz w:val="28"/>
          <w:szCs w:val="28"/>
        </w:rPr>
        <w:t xml:space="preserve">    房屋（土地）承租方是所租赁房屋（土地）的安全全权责任人，负责该房屋（土地）及附属设施的安全责任。</w:t>
      </w:r>
    </w:p>
    <w:p w14:paraId="3880E125">
      <w:pPr>
        <w:spacing w:line="560" w:lineRule="exact"/>
        <w:rPr>
          <w:rFonts w:ascii="仿宋" w:hAnsi="仿宋" w:eastAsia="仿宋" w:cs="仿宋"/>
          <w:b/>
          <w:bCs/>
          <w:sz w:val="28"/>
          <w:szCs w:val="28"/>
        </w:rPr>
      </w:pPr>
      <w:r>
        <w:rPr>
          <w:rFonts w:hint="eastAsia" w:ascii="仿宋" w:hAnsi="仿宋" w:eastAsia="仿宋" w:cs="仿宋"/>
          <w:b/>
          <w:bCs/>
          <w:sz w:val="28"/>
          <w:szCs w:val="28"/>
        </w:rPr>
        <w:t xml:space="preserve">    二、安全责任内容</w:t>
      </w:r>
    </w:p>
    <w:p w14:paraId="105C7493">
      <w:pPr>
        <w:spacing w:line="560" w:lineRule="exact"/>
        <w:rPr>
          <w:rFonts w:ascii="仿宋" w:hAnsi="仿宋" w:eastAsia="仿宋" w:cs="仿宋"/>
          <w:sz w:val="28"/>
          <w:szCs w:val="28"/>
        </w:rPr>
      </w:pPr>
      <w:r>
        <w:rPr>
          <w:rFonts w:hint="eastAsia" w:ascii="仿宋" w:hAnsi="仿宋" w:eastAsia="仿宋" w:cs="仿宋"/>
          <w:sz w:val="28"/>
          <w:szCs w:val="28"/>
        </w:rPr>
        <w:t xml:space="preserve">    1.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106644EE">
      <w:pPr>
        <w:spacing w:line="560" w:lineRule="exact"/>
        <w:rPr>
          <w:rFonts w:ascii="仿宋" w:hAnsi="仿宋" w:eastAsia="仿宋" w:cs="仿宋"/>
          <w:sz w:val="28"/>
          <w:szCs w:val="28"/>
        </w:rPr>
      </w:pPr>
      <w:r>
        <w:rPr>
          <w:rFonts w:hint="eastAsia" w:ascii="仿宋" w:hAnsi="仿宋" w:eastAsia="仿宋" w:cs="仿宋"/>
          <w:sz w:val="28"/>
          <w:szCs w:val="28"/>
        </w:rPr>
        <w:t xml:space="preserve">    2.加强消防安全教育，提高消防安全常识。承租方必须按消防规定配足配齐灭火器材，懂得消防防火知识并会操作使用消防器材，消防设备必须有专人负责管理，提高自防自救能力。</w:t>
      </w:r>
    </w:p>
    <w:p w14:paraId="748402D3">
      <w:pPr>
        <w:spacing w:line="560" w:lineRule="exact"/>
        <w:rPr>
          <w:rFonts w:ascii="仿宋" w:hAnsi="仿宋" w:eastAsia="仿宋" w:cs="仿宋"/>
          <w:sz w:val="28"/>
          <w:szCs w:val="28"/>
        </w:rPr>
      </w:pPr>
      <w:r>
        <w:rPr>
          <w:rFonts w:hint="eastAsia" w:ascii="仿宋" w:hAnsi="仿宋" w:eastAsia="仿宋" w:cs="仿宋"/>
          <w:sz w:val="28"/>
          <w:szCs w:val="28"/>
        </w:rPr>
        <w:t xml:space="preserve">    3.保证安全通道畅通，严禁封闭、堵塞安全通道。出租资产内及周围区域严禁存放易燃、可燃物品，不得存放易燃、易爆和有毒物品。</w:t>
      </w:r>
    </w:p>
    <w:p w14:paraId="1716F964">
      <w:pPr>
        <w:spacing w:line="560" w:lineRule="exact"/>
        <w:rPr>
          <w:rFonts w:ascii="仿宋" w:hAnsi="仿宋" w:eastAsia="仿宋" w:cs="仿宋"/>
          <w:sz w:val="28"/>
          <w:szCs w:val="28"/>
        </w:rPr>
      </w:pPr>
      <w:r>
        <w:rPr>
          <w:rFonts w:hint="eastAsia" w:ascii="仿宋" w:hAnsi="仿宋" w:eastAsia="仿宋" w:cs="仿宋"/>
          <w:sz w:val="28"/>
          <w:szCs w:val="28"/>
        </w:rPr>
        <w:t xml:space="preserve">    4.用电线路安装必须规范，应使用国标电线及材料。严禁一线多用及乱接乱拉现象，定期检查线路安全情况，用电线路距离明火不得少于1.5米。</w:t>
      </w:r>
    </w:p>
    <w:p w14:paraId="62D8D893">
      <w:pPr>
        <w:spacing w:line="560" w:lineRule="exact"/>
        <w:rPr>
          <w:rFonts w:ascii="仿宋" w:hAnsi="仿宋" w:eastAsia="仿宋" w:cs="仿宋"/>
          <w:sz w:val="28"/>
          <w:szCs w:val="28"/>
        </w:rPr>
      </w:pPr>
      <w:r>
        <w:rPr>
          <w:rFonts w:hint="eastAsia" w:ascii="仿宋" w:hAnsi="仿宋" w:eastAsia="仿宋" w:cs="仿宋"/>
          <w:sz w:val="28"/>
          <w:szCs w:val="28"/>
        </w:rPr>
        <w:t xml:space="preserve">    5.必须具备应有的工商、税务、卫生、防疫和公安机关等相关手续；经营餐饮业必须持有营业执照、健康证明、卫生许可证、特行证等相关证照。</w:t>
      </w:r>
    </w:p>
    <w:p w14:paraId="0EAEAD6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6.定期向出租方报告安全情况。凡全面遵守《安全责任告知书》规定的安全责任内容的，出租方将优先续租。凡未全面遵守《安全责任告知书》规定的安全责任内容或对检查中发现的安全隐患不及时整改的承租者，应当承担违约责任，具体标准如下：</w:t>
      </w:r>
    </w:p>
    <w:p w14:paraId="4AE1966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(1).发生一般事故两起的，支付违约金十万元；两起以上每增加一起另支付十万元。</w:t>
      </w:r>
    </w:p>
    <w:p w14:paraId="7F4D1A8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(2).发生较大事故的，支付违约金三十万元；每增加一起另支付三十万元。</w:t>
      </w:r>
    </w:p>
    <w:p w14:paraId="01F3A0A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(3).发生重大事故的，支付违约金七十万元；每增加一起另支付七十万元。</w:t>
      </w:r>
    </w:p>
    <w:p w14:paraId="2B29AAB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(4).发生特别重大事故的，支付违约金一百五十万元。每增加一起另支付一百五十万元。</w:t>
      </w:r>
    </w:p>
    <w:p w14:paraId="09E6D28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且任意一项安全生产目标被突破甲方均有权解除租赁合同，并由乙方根据租赁合同的约定承担合同解除的对应责任。</w:t>
      </w:r>
    </w:p>
    <w:p w14:paraId="172F7563">
      <w:pPr>
        <w:spacing w:line="560" w:lineRule="exact"/>
        <w:rPr>
          <w:rFonts w:ascii="仿宋" w:hAnsi="仿宋" w:eastAsia="仿宋" w:cs="仿宋"/>
          <w:sz w:val="28"/>
          <w:szCs w:val="28"/>
        </w:rPr>
      </w:pPr>
      <w:r>
        <w:rPr>
          <w:rFonts w:hint="eastAsia" w:ascii="仿宋" w:hAnsi="仿宋" w:eastAsia="仿宋" w:cs="仿宋"/>
          <w:b/>
          <w:bCs/>
          <w:sz w:val="28"/>
          <w:szCs w:val="28"/>
        </w:rPr>
        <w:t xml:space="preserve">  三、其他</w:t>
      </w:r>
    </w:p>
    <w:p w14:paraId="12D29A63">
      <w:pPr>
        <w:spacing w:line="560" w:lineRule="exact"/>
        <w:ind w:firstLine="560"/>
        <w:rPr>
          <w:rFonts w:ascii="仿宋" w:hAnsi="仿宋" w:eastAsia="仿宋" w:cs="仿宋"/>
          <w:sz w:val="28"/>
          <w:szCs w:val="28"/>
        </w:rPr>
      </w:pPr>
      <w:r>
        <w:rPr>
          <w:rFonts w:hint="eastAsia" w:ascii="仿宋" w:hAnsi="仿宋" w:eastAsia="仿宋" w:cs="仿宋"/>
          <w:sz w:val="28"/>
          <w:szCs w:val="28"/>
        </w:rPr>
        <w:t>《安全责任告知书》与《房屋（土地）租赁合同》具有同等效力，《安全责任告知书》一式两份，出租方、承租方各一份。</w:t>
      </w:r>
    </w:p>
    <w:p w14:paraId="0E1FA81C">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出租方：                                 承租方：</w:t>
      </w:r>
    </w:p>
    <w:p w14:paraId="0E82F238">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（盖章）                                 （盖章）</w:t>
      </w:r>
    </w:p>
    <w:p w14:paraId="4561EF50">
      <w:r>
        <w:rPr>
          <w:rFonts w:hint="eastAsia" w:ascii="仿宋" w:hAnsi="仿宋" w:eastAsia="仿宋" w:cs="仿宋"/>
          <w:sz w:val="28"/>
          <w:szCs w:val="28"/>
        </w:rPr>
        <w:t xml:space="preserve">    年    月    日                           年    月    日</w:t>
      </w:r>
    </w:p>
    <w:p w14:paraId="64D295CC">
      <w:pPr>
        <w:rPr>
          <w:rFonts w:hint="eastAsia" w:ascii="黑体" w:hAnsi="黑体" w:eastAsia="黑体" w:cs="黑体"/>
          <w:b/>
          <w:bCs/>
          <w:sz w:val="30"/>
          <w:szCs w:val="30"/>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7FDB7CD-D944-4E17-9370-D245676B1FB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embedRegular r:id="rId2" w:fontKey="{994DA6F1-901E-40A9-BE5C-0BA4FD8270E6}"/>
  </w:font>
  <w:font w:name="仿宋_GB2312">
    <w:panose1 w:val="02010609030101010101"/>
    <w:charset w:val="86"/>
    <w:family w:val="modern"/>
    <w:pitch w:val="default"/>
    <w:sig w:usb0="00000001" w:usb1="080E0000" w:usb2="00000000" w:usb3="00000000" w:csb0="00040000" w:csb1="00000000"/>
    <w:embedRegular r:id="rId3" w:fontKey="{50FF0684-6F64-463A-9DB0-DA661F272EF8}"/>
  </w:font>
  <w:font w:name="方正小标宋简体">
    <w:panose1 w:val="03000509000000000000"/>
    <w:charset w:val="86"/>
    <w:family w:val="script"/>
    <w:pitch w:val="default"/>
    <w:sig w:usb0="00000001" w:usb1="080E0000" w:usb2="00000000" w:usb3="00000000" w:csb0="00040000" w:csb1="00000000"/>
    <w:embedRegular r:id="rId4" w:fontKey="{BBD22ECD-54E3-496D-AE90-435FB6E165C5}"/>
  </w:font>
  <w:font w:name="仿宋">
    <w:panose1 w:val="02010609060101010101"/>
    <w:charset w:val="86"/>
    <w:family w:val="auto"/>
    <w:pitch w:val="default"/>
    <w:sig w:usb0="800002BF" w:usb1="38CF7CFA" w:usb2="00000016" w:usb3="00000000" w:csb0="00040001" w:csb1="00000000"/>
    <w:embedRegular r:id="rId5" w:fontKey="{B3325169-8FB8-4504-AADD-B647BE8A136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CEC60">
    <w:pPr>
      <w:pStyle w:val="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1EC23D">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A1EC23D">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544A6">
    <w:pPr>
      <w:pStyle w:val="3"/>
      <w:spacing w:line="219" w:lineRule="auto"/>
      <w:ind w:left="30"/>
      <w:rPr>
        <w:sz w:val="18"/>
        <w:szCs w:val="18"/>
      </w:rPr>
    </w:pPr>
    <w:r>
      <mc:AlternateContent>
        <mc:Choice Requires="wps">
          <w:drawing>
            <wp:anchor distT="0" distB="0" distL="114300" distR="114300" simplePos="0" relativeHeight="251662336" behindDoc="0" locked="0" layoutInCell="0" allowOverlap="1">
              <wp:simplePos x="0" y="0"/>
              <wp:positionH relativeFrom="page">
                <wp:posOffset>1143000</wp:posOffset>
              </wp:positionH>
              <wp:positionV relativeFrom="page">
                <wp:posOffset>701040</wp:posOffset>
              </wp:positionV>
              <wp:extent cx="5274310" cy="9525"/>
              <wp:effectExtent l="0" t="0" r="0" b="0"/>
              <wp:wrapNone/>
              <wp:docPr id="8" name="任意多边形 8"/>
              <wp:cNvGraphicFramePr/>
              <a:graphic xmlns:a="http://schemas.openxmlformats.org/drawingml/2006/main">
                <a:graphicData uri="http://schemas.microsoft.com/office/word/2010/wordprocessingShape">
                  <wps:wsp>
                    <wps:cNvSpPr/>
                    <wps:spPr>
                      <a:xfrm>
                        <a:off x="0" y="0"/>
                        <a:ext cx="5274310" cy="9525"/>
                      </a:xfrm>
                      <a:custGeom>
                        <a:avLst/>
                        <a:gdLst/>
                        <a:ahLst/>
                        <a:cxnLst/>
                        <a:pathLst>
                          <a:path w="8305" h="15">
                            <a:moveTo>
                              <a:pt x="0" y="0"/>
                            </a:moveTo>
                            <a:lnTo>
                              <a:pt x="8305" y="0"/>
                            </a:lnTo>
                            <a:lnTo>
                              <a:pt x="8305"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90pt;margin-top:55.2pt;height:0.75pt;width:415.3pt;mso-position-horizontal-relative:page;mso-position-vertical-relative:page;z-index:251662336;mso-width-relative:page;mso-height-relative:page;" fillcolor="#000000" filled="t" stroked="f" coordsize="8305,15" o:allowincell="f" o:gfxdata="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PPLpF2QAAAAwBAAAPAAAAAAAA&#10;AAEAIAAAACIAAABkcnMvZG93bnJldi54bWxQSwECFAAUAAAACACHTuJAN2/kMxECAAB7BAAADgAA&#10;AAAAAAABACAAAAAoAQAAZHJzL2Uyb0RvYy54bWxQSwUGAAAAAAYABgBZAQAAqwUAAAAA&#10;" path="m0,0l8305,0,8305,14,0,14,0,0xe">
              <v:fill on="t" focussize="0,0"/>
              <v:stroke on="f"/>
              <v:imagedata o:title=""/>
              <o:lock v:ext="edit" aspectratio="f"/>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4818380</wp:posOffset>
              </wp:positionH>
              <wp:positionV relativeFrom="paragraph">
                <wp:posOffset>-12065</wp:posOffset>
              </wp:positionV>
              <wp:extent cx="477520" cy="161925"/>
              <wp:effectExtent l="0" t="0" r="0" b="0"/>
              <wp:wrapNone/>
              <wp:docPr id="9" name="文本框 9"/>
              <wp:cNvGraphicFramePr/>
              <a:graphic xmlns:a="http://schemas.openxmlformats.org/drawingml/2006/main">
                <a:graphicData uri="http://schemas.microsoft.com/office/word/2010/wordprocessingShape">
                  <wps:wsp>
                    <wps:cNvSpPr txBox="1"/>
                    <wps:spPr>
                      <a:xfrm>
                        <a:off x="0" y="0"/>
                        <a:ext cx="477520" cy="161925"/>
                      </a:xfrm>
                      <a:prstGeom prst="rect">
                        <a:avLst/>
                      </a:prstGeom>
                      <a:noFill/>
                      <a:ln>
                        <a:noFill/>
                      </a:ln>
                    </wps:spPr>
                    <wps:txbx>
                      <w:txbxContent>
                        <w:p w14:paraId="6660EB64">
                          <w:pPr>
                            <w:pStyle w:val="3"/>
                            <w:spacing w:before="20" w:line="220" w:lineRule="auto"/>
                            <w:ind w:left="20"/>
                            <w:rPr>
                              <w:sz w:val="18"/>
                              <w:szCs w:val="18"/>
                            </w:rPr>
                          </w:pPr>
                          <w:r>
                            <w:rPr>
                              <w:spacing w:val="-3"/>
                              <w:sz w:val="18"/>
                              <w:szCs w:val="18"/>
                            </w:rPr>
                            <w:t>租赁合同</w:t>
                          </w:r>
                        </w:p>
                      </w:txbxContent>
                    </wps:txbx>
                    <wps:bodyPr lIns="0" tIns="0" rIns="0" bIns="0" upright="1"/>
                  </wps:wsp>
                </a:graphicData>
              </a:graphic>
            </wp:anchor>
          </w:drawing>
        </mc:Choice>
        <mc:Fallback>
          <w:pict>
            <v:shape id="_x0000_s1026" o:spid="_x0000_s1026" o:spt="202" type="#_x0000_t202" style="position:absolute;left:0pt;margin-left:379.4pt;margin-top:-0.95pt;height:12.75pt;width:37.6pt;z-index:251661312;mso-width-relative:page;mso-height-relative:page;" filled="f" stroked="f" coordsize="21600,21600" o:gfxdata="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sWvKk2QAAAAkBAAAPAAAAAAAAAAEAIAAAACIAAABkcnMvZG93bnJldi54bWxQSwEC&#10;FAAUAAAACACHTuJA0vpjV7oBAABxAwAADgAAAAAAAAABACAAAAAoAQAAZHJzL2Uyb0RvYy54bWxQ&#10;SwUGAAAAAAYABgBZAQAAVAUAAAAA&#10;">
              <v:fill on="f" focussize="0,0"/>
              <v:stroke on="f"/>
              <v:imagedata o:title=""/>
              <o:lock v:ext="edit" aspectratio="f"/>
              <v:textbox inset="0mm,0mm,0mm,0mm">
                <w:txbxContent>
                  <w:p w14:paraId="6660EB64">
                    <w:pPr>
                      <w:pStyle w:val="3"/>
                      <w:spacing w:before="20" w:line="220" w:lineRule="auto"/>
                      <w:ind w:left="20"/>
                      <w:rPr>
                        <w:sz w:val="18"/>
                        <w:szCs w:val="18"/>
                      </w:rPr>
                    </w:pPr>
                    <w:r>
                      <w:rPr>
                        <w:spacing w:val="-3"/>
                        <w:sz w:val="18"/>
                        <w:szCs w:val="18"/>
                      </w:rPr>
                      <w:t>租赁合同</w:t>
                    </w:r>
                  </w:p>
                </w:txbxContent>
              </v:textbox>
            </v:shape>
          </w:pict>
        </mc:Fallback>
      </mc:AlternateContent>
    </w:r>
    <w:r>
      <w:drawing>
        <wp:anchor distT="0" distB="0" distL="114300" distR="114300" simplePos="0" relativeHeight="251660288" behindDoc="1" locked="0" layoutInCell="0" allowOverlap="1">
          <wp:simplePos x="0" y="0"/>
          <wp:positionH relativeFrom="page">
            <wp:posOffset>1927860</wp:posOffset>
          </wp:positionH>
          <wp:positionV relativeFrom="page">
            <wp:posOffset>3948430</wp:posOffset>
          </wp:positionV>
          <wp:extent cx="3703955" cy="2795270"/>
          <wp:effectExtent l="0" t="0" r="10795" b="5080"/>
          <wp:wrapNone/>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1"/>
                  <a:stretch>
                    <a:fillRect/>
                  </a:stretch>
                </pic:blipFill>
                <pic:spPr>
                  <a:xfrm>
                    <a:off x="0" y="0"/>
                    <a:ext cx="3703955" cy="2795270"/>
                  </a:xfrm>
                  <a:prstGeom prst="rect">
                    <a:avLst/>
                  </a:prstGeom>
                  <a:noFill/>
                  <a:ln>
                    <a:noFill/>
                  </a:ln>
                </pic:spPr>
              </pic:pic>
            </a:graphicData>
          </a:graphic>
        </wp:anchor>
      </w:drawing>
    </w:r>
    <w:r>
      <w:rPr>
        <w:spacing w:val="-1"/>
        <w:sz w:val="18"/>
        <w:szCs w:val="18"/>
      </w:rPr>
      <w:t>宁波市镇海区危化品运输综合服务有限公司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pPr>
        <w:ind w:left="0" w:firstLine="0"/>
      </w:pPr>
    </w:lvl>
  </w:abstractNum>
  <w:abstractNum w:abstractNumId="1">
    <w:nsid w:val="A46A7A84"/>
    <w:multiLevelType w:val="singleLevel"/>
    <w:tmpl w:val="A46A7A84"/>
    <w:lvl w:ilvl="0" w:tentative="0">
      <w:start w:val="7"/>
      <w:numFmt w:val="chineseCounting"/>
      <w:suff w:val="space"/>
      <w:lvlText w:val="第%1条"/>
      <w:lvlJc w:val="left"/>
      <w:pPr>
        <w:ind w:left="20" w:firstLine="0"/>
      </w:pPr>
    </w:lvl>
  </w:abstractNum>
  <w:abstractNum w:abstractNumId="2">
    <w:nsid w:val="54EB6FFE"/>
    <w:multiLevelType w:val="singleLevel"/>
    <w:tmpl w:val="54EB6FFE"/>
    <w:lvl w:ilvl="0" w:tentative="0">
      <w:start w:val="1"/>
      <w:numFmt w:val="chineseCounting"/>
      <w:suff w:val="nothing"/>
      <w:lvlText w:val="（%1）"/>
      <w:lvlJc w:val="left"/>
      <w:pPr>
        <w:ind w:left="0" w:firstLine="0"/>
      </w:pPr>
    </w:lvl>
  </w:abstractNum>
  <w:abstractNum w:abstractNumId="3">
    <w:nsid w:val="59BC9860"/>
    <w:multiLevelType w:val="singleLevel"/>
    <w:tmpl w:val="59BC9860"/>
    <w:lvl w:ilvl="0" w:tentative="0">
      <w:start w:val="1"/>
      <w:numFmt w:val="chineseCounting"/>
      <w:suff w:val="space"/>
      <w:lvlText w:val="第%1条"/>
      <w:lvlJc w:val="left"/>
      <w:pPr>
        <w:ind w:left="0" w:firstLine="0"/>
      </w:pPr>
    </w:lvl>
  </w:abstractNum>
  <w:abstractNum w:abstractNumId="4">
    <w:nsid w:val="784C1713"/>
    <w:multiLevelType w:val="singleLevel"/>
    <w:tmpl w:val="784C1713"/>
    <w:lvl w:ilvl="0" w:tentative="0">
      <w:start w:val="1"/>
      <w:numFmt w:val="decimal"/>
      <w:suff w:val="nothing"/>
      <w:lvlText w:val="%1、"/>
      <w:lvlJc w:val="left"/>
    </w:lvl>
  </w:abstractNum>
  <w:num w:numId="1">
    <w:abstractNumId w:val="4"/>
  </w:num>
  <w:num w:numId="2">
    <w:abstractNumId w:val="3"/>
    <w:lvlOverride w:ilvl="0">
      <w:startOverride w:val="1"/>
    </w:lvlOverride>
  </w:num>
  <w:num w:numId="3">
    <w:abstractNumId w:val="1"/>
    <w:lvlOverride w:ilvl="0">
      <w:startOverride w:val="7"/>
    </w:lvlOverride>
  </w:num>
  <w:num w:numId="4">
    <w:abstractNumId w:val="0"/>
    <w:lvlOverride w:ilvl="0">
      <w:startOverride w:val="1"/>
    </w:lvlOverride>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1E90844"/>
    <w:rsid w:val="02061170"/>
    <w:rsid w:val="04CC48A5"/>
    <w:rsid w:val="04E8159A"/>
    <w:rsid w:val="05046014"/>
    <w:rsid w:val="07724E37"/>
    <w:rsid w:val="078C6EA6"/>
    <w:rsid w:val="0ADA341F"/>
    <w:rsid w:val="0C654F6B"/>
    <w:rsid w:val="0D630D93"/>
    <w:rsid w:val="0E743E7F"/>
    <w:rsid w:val="0F19203C"/>
    <w:rsid w:val="11431086"/>
    <w:rsid w:val="13E40E6B"/>
    <w:rsid w:val="15565D98"/>
    <w:rsid w:val="15CF70C6"/>
    <w:rsid w:val="15EC3809"/>
    <w:rsid w:val="1673687F"/>
    <w:rsid w:val="1B682DA2"/>
    <w:rsid w:val="1CE819CC"/>
    <w:rsid w:val="1E1B192D"/>
    <w:rsid w:val="2175353F"/>
    <w:rsid w:val="228A7081"/>
    <w:rsid w:val="2477102B"/>
    <w:rsid w:val="26D52D7B"/>
    <w:rsid w:val="324C7EAF"/>
    <w:rsid w:val="332D7CE1"/>
    <w:rsid w:val="36BB5604"/>
    <w:rsid w:val="374026BB"/>
    <w:rsid w:val="3A667F7C"/>
    <w:rsid w:val="41D34149"/>
    <w:rsid w:val="41DF4BEC"/>
    <w:rsid w:val="423B7208"/>
    <w:rsid w:val="45EA1A61"/>
    <w:rsid w:val="48BC1536"/>
    <w:rsid w:val="517F670C"/>
    <w:rsid w:val="53F47E3D"/>
    <w:rsid w:val="574F43DF"/>
    <w:rsid w:val="57A77AD7"/>
    <w:rsid w:val="5BC718F6"/>
    <w:rsid w:val="5C054F9B"/>
    <w:rsid w:val="5DC66041"/>
    <w:rsid w:val="5E425E33"/>
    <w:rsid w:val="5E4B16FA"/>
    <w:rsid w:val="5F772160"/>
    <w:rsid w:val="633839B4"/>
    <w:rsid w:val="63A32D5E"/>
    <w:rsid w:val="63EE0D2D"/>
    <w:rsid w:val="6A163D24"/>
    <w:rsid w:val="6AD8764A"/>
    <w:rsid w:val="6C185565"/>
    <w:rsid w:val="6DC5053A"/>
    <w:rsid w:val="6EEA2BEE"/>
    <w:rsid w:val="72FD2525"/>
    <w:rsid w:val="73886E83"/>
    <w:rsid w:val="790A315A"/>
    <w:rsid w:val="79F91C98"/>
    <w:rsid w:val="7BBA0027"/>
    <w:rsid w:val="7C485F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w:basedOn w:val="1"/>
    <w:semiHidden/>
    <w:qFormat/>
    <w:uiPriority w:val="0"/>
    <w:rPr>
      <w:rFonts w:ascii="宋体" w:hAnsi="宋体" w:eastAsia="宋体" w:cs="宋体"/>
      <w:sz w:val="28"/>
      <w:szCs w:val="28"/>
      <w:lang w:val="en-US" w:eastAsia="en-US" w:bidi="ar-SA"/>
    </w:rPr>
  </w:style>
  <w:style w:type="paragraph" w:styleId="4">
    <w:name w:val="Body Text Indent"/>
    <w:basedOn w:val="1"/>
    <w:autoRedefine/>
    <w:qFormat/>
    <w:uiPriority w:val="0"/>
    <w:pPr>
      <w:spacing w:line="360" w:lineRule="auto"/>
      <w:ind w:left="1"/>
    </w:pPr>
    <w:rPr>
      <w:sz w:val="24"/>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7">
    <w:name w:val="Normal (Web)"/>
    <w:basedOn w:val="1"/>
    <w:autoRedefine/>
    <w:qFormat/>
    <w:uiPriority w:val="0"/>
    <w:pPr>
      <w:spacing w:beforeAutospacing="1" w:afterAutospacing="1"/>
      <w:jc w:val="left"/>
    </w:pPr>
    <w:rPr>
      <w:rFonts w:ascii="Calibri" w:hAnsi="Calibri" w:eastAsia="宋体"/>
      <w:kern w:val="0"/>
      <w:sz w:val="24"/>
      <w:szCs w:val="24"/>
    </w:rPr>
  </w:style>
  <w:style w:type="paragraph" w:customStyle="1" w:styleId="10">
    <w:name w:val="List Paragraph"/>
    <w:basedOn w:val="1"/>
    <w:autoRedefine/>
    <w:qFormat/>
    <w:uiPriority w:val="0"/>
    <w:pPr>
      <w:ind w:firstLine="420" w:firstLineChars="200"/>
    </w:pPr>
    <w:rPr>
      <w:rFonts w:ascii="Calibri" w:hAnsi="Calibri"/>
      <w:szCs w:val="22"/>
    </w:rPr>
  </w:style>
  <w:style w:type="paragraph" w:customStyle="1" w:styleId="11">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autoRedefine/>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7349</Words>
  <Characters>7585</Characters>
  <Lines>0</Lines>
  <Paragraphs>0</Paragraphs>
  <TotalTime>0</TotalTime>
  <ScaleCrop>false</ScaleCrop>
  <LinksUpToDate>false</LinksUpToDate>
  <CharactersWithSpaces>8075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cp:lastPrinted>2024-12-25T00:54:00Z</cp:lastPrinted>
  <dcterms:modified xsi:type="dcterms:W3CDTF">2024-12-25T07:29:10Z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D286F571AB1E4A0CA7FF948556377CE1</vt:lpwstr>
  </property>
</Properties>
</file>